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关于《南昌市碳普惠管理办法》等3项文件的起草说明</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rPr>
        <w:t>为加快推进我市碳普惠体系建设，规范相关管理工作，我局研究起草了《南昌市碳普惠管理办法（征求意见稿）》《南昌市碳普惠方法学编制大纲与申报流程（征求意见稿）》《南昌市大型活动碳中和工作指引（征求意见稿）》（以下简称“3项文件”）。现将有关情况说明如下：</w:t>
      </w:r>
    </w:p>
    <w:p>
      <w:pPr>
        <w:numPr>
          <w:ilvl w:val="0"/>
          <w:numId w:val="1"/>
        </w:num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工作背景</w:t>
      </w:r>
    </w:p>
    <w:p>
      <w:pPr>
        <w:spacing w:line="600" w:lineRule="exact"/>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rPr>
        <w:t>为深入贯彻落实习近平生态文明思想，践行“绿水青山就是金山银山”理念，助力实现碳达峰碳中和目标，推动全社会广泛形成绿色低碳生产生活方式，</w:t>
      </w:r>
      <w:r>
        <w:rPr>
          <w:rFonts w:hint="eastAsia" w:ascii="仿宋_GB2312" w:hAnsi="Calibri" w:eastAsia="仿宋_GB2312" w:cs="Times New Roman"/>
          <w:sz w:val="32"/>
          <w:szCs w:val="32"/>
          <w:lang w:val="en-US" w:eastAsia="zh-CN"/>
        </w:rPr>
        <w:t>南昌市政府办公室于2025年9月23日印发实施了《南昌市推进碳普惠工作实施方案（2025-2027年）》（洪府办发〔2025〕73号）。为贯彻落实《实施方案》的部署要求，构建完善碳普惠制度体系，亟需制定配套的管理制度和技术规范。</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lang w:val="en-US" w:eastAsia="zh-CN"/>
        </w:rPr>
        <w:t>为此，我局在总结现有经验、借鉴先进地区做法的基础上，立足南昌实际，起草了上述3项文件，旨在为碳普惠机制的建设、运行、管理和监督提供明确的制度依据和操作指南，确保各项工作有章可循、规范有序，推动我市碳普惠工作深入发展。</w:t>
      </w:r>
    </w:p>
    <w:p>
      <w:pPr>
        <w:numPr>
          <w:ilvl w:val="0"/>
          <w:numId w:val="1"/>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起草经过</w:t>
      </w:r>
    </w:p>
    <w:p>
      <w:pPr>
        <w:spacing w:line="600" w:lineRule="exact"/>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为广泛听取各方意见，确保3项文件的科学性、适用性和可操作性，我局严格遵循规范性文件制定程序，于2025年11月向各县（区）政府、开发区管委会、市直相关部门、市属重点企业以及省环科院、省公共资源交易中心等共计20余家单位开展了第一轮意见征求，反馈截止日期为2025年11月14日。</w:t>
      </w:r>
    </w:p>
    <w:p>
      <w:pPr>
        <w:pStyle w:val="3"/>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征求意见期间，共收到来自市轨道交通集团、市财政局、市发改委、省环科院、市商务局、公共资源交易集团等多家单位反馈的共计15条意见。反馈意见主要集中在管理机构的明确、数据安全与责任界定、大型活动定义与碳中和流程细化、碳普惠减排量交易与抵销方式、文本表述统一等方面。对于收集到的各项意见，我局会同相关方面进行了逐条梳理和认真研究，均全部采纳并对3项文件进行了修改完善。</w:t>
      </w:r>
    </w:p>
    <w:p>
      <w:pPr>
        <w:numPr>
          <w:ilvl w:val="0"/>
          <w:numId w:val="1"/>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主要内容</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lang w:val="en-US" w:eastAsia="zh-CN"/>
        </w:rPr>
        <w:t>3项文件共同构成了我市碳普惠体系的核心制度框架：</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b w:val="0"/>
          <w:bCs w:val="0"/>
          <w:sz w:val="32"/>
          <w:szCs w:val="32"/>
        </w:rPr>
        <w:t>《南昌市碳普惠管理办法》</w:t>
      </w:r>
      <w:r>
        <w:rPr>
          <w:rFonts w:hint="eastAsia" w:ascii="仿宋_GB2312" w:hAnsi="Calibri" w:eastAsia="仿宋_GB2312" w:cs="Times New Roman"/>
          <w:sz w:val="32"/>
          <w:szCs w:val="32"/>
        </w:rPr>
        <w:t>作为碳普惠体系的顶层设计文件，明确了碳普惠机制建设的总体原则、管理职责、运行框架和监管要求。办法确立了“政府引导、市场运作、社会参与、公开透明”的原则，规定了市生态环境局、管理机构及各相关方的职责分工，并对碳普惠方法学管理、减排场景管理、减排量交易与消纳、激励监督等关键环节作出了系统性规范</w:t>
      </w:r>
      <w:r>
        <w:rPr>
          <w:rFonts w:hint="eastAsia" w:ascii="仿宋_GB2312" w:hAnsi="Calibri" w:eastAsia="仿宋_GB2312" w:cs="Times New Roman"/>
          <w:sz w:val="32"/>
          <w:szCs w:val="32"/>
          <w:lang w:val="en-US" w:eastAsia="zh-CN"/>
        </w:rPr>
        <w:t>要求</w:t>
      </w:r>
      <w:r>
        <w:rPr>
          <w:rFonts w:hint="eastAsia" w:ascii="仿宋_GB2312" w:hAnsi="Calibri" w:eastAsia="仿宋_GB2312" w:cs="Times New Roman"/>
          <w:sz w:val="32"/>
          <w:szCs w:val="32"/>
        </w:rPr>
        <w:t>。</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rPr>
        <w:t>《南昌市碳普惠方法学编制大纲与申报流程》是支撑碳普惠项目减排量核算的技术基础。文件明确了方法学编制应遵循的科学性、准确性等原则，规定了方法学的适用条件、编制内容、申报评估与公布流程，提供了详细的编制提纲和申请表模板，为开发具有南昌特色的碳普惠方法学提供了标准化指引，确保减排量核算的准确性和可信度。</w:t>
      </w:r>
    </w:p>
    <w:p>
      <w:pPr>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rPr>
        <w:t>《南昌市大型活动碳中和工作指引》为大型活动实现碳中和提供了操作规范。指引明确了大型活动碳中和的定义、责任主体和实施流程，指导举办单位从制定计划、减排行动、碳排放核算到抵销的全过程操作，并依托南昌碳普惠平台进行</w:t>
      </w:r>
      <w:bookmarkStart w:id="0" w:name="_GoBack"/>
      <w:bookmarkEnd w:id="0"/>
      <w:r>
        <w:rPr>
          <w:rFonts w:hint="eastAsia" w:ascii="仿宋_GB2312" w:hAnsi="Calibri" w:eastAsia="仿宋_GB2312" w:cs="Times New Roman"/>
          <w:sz w:val="32"/>
          <w:szCs w:val="32"/>
        </w:rPr>
        <w:t>管理，鼓励通过购买或注销碳普惠减排量等方式实现碳中和，旨在发挥大型活动的示范引领作用。</w:t>
      </w:r>
    </w:p>
    <w:p>
      <w:pPr>
        <w:spacing w:line="600" w:lineRule="exact"/>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以上3项文件相互衔接、配套实施，将共同为我市碳普惠工作的健康、规范、有效运行提供坚实的制度保障。</w:t>
      </w:r>
    </w:p>
    <w:p>
      <w:pPr>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br w:type="page"/>
      </w:r>
    </w:p>
    <w:p>
      <w:pPr>
        <w:spacing w:line="560" w:lineRule="exact"/>
        <w:rPr>
          <w:rFonts w:hint="eastAsia" w:ascii="黑体" w:hAnsi="黑体" w:eastAsia="黑体" w:cs="黑体"/>
          <w:sz w:val="32"/>
          <w:szCs w:val="32"/>
        </w:rPr>
      </w:pPr>
      <w:r>
        <w:rPr>
          <w:rFonts w:hint="eastAsia" w:ascii="黑体" w:hAnsi="黑体" w:eastAsia="黑体" w:cs="黑体"/>
          <w:sz w:val="32"/>
          <w:szCs w:val="32"/>
        </w:rPr>
        <w:t>附件3</w:t>
      </w:r>
    </w:p>
    <w:tbl>
      <w:tblPr>
        <w:tblStyle w:val="4"/>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3"/>
        <w:gridCol w:w="2221"/>
        <w:gridCol w:w="2817"/>
        <w:gridCol w:w="28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519" w:type="dxa"/>
            <w:gridSpan w:val="4"/>
            <w:tcBorders>
              <w:top w:val="nil"/>
              <w:left w:val="nil"/>
              <w:bottom w:val="nil"/>
              <w:right w:val="nil"/>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《南昌市碳普惠管理办法》等3项文件</w:t>
            </w:r>
          </w:p>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color w:val="000000"/>
                <w:kern w:val="0"/>
                <w:sz w:val="36"/>
                <w:szCs w:val="36"/>
              </w:rPr>
              <w:t>征求意见采纳情况汇总表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519" w:type="dxa"/>
            <w:gridSpan w:val="4"/>
            <w:tcBorders>
              <w:top w:val="nil"/>
              <w:left w:val="nil"/>
              <w:bottom w:val="nil"/>
              <w:right w:val="nil"/>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kern w:val="0"/>
                <w:sz w:val="28"/>
                <w:szCs w:val="28"/>
                <w:u w:val="none"/>
                <w:lang w:val="en-US" w:eastAsia="zh-CN" w:bidi="ar"/>
              </w:rPr>
            </w:pPr>
            <w:r>
              <w:rPr>
                <w:rFonts w:hint="eastAsia" w:ascii="黑体" w:hAnsi="黑体" w:eastAsia="黑体" w:cs="黑体"/>
                <w:color w:val="000000"/>
                <w:kern w:val="0"/>
                <w:sz w:val="32"/>
                <w:szCs w:val="32"/>
              </w:rPr>
              <w:t>第一轮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序号</w:t>
            </w:r>
          </w:p>
        </w:tc>
        <w:tc>
          <w:tcPr>
            <w:tcW w:w="2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lang w:val="en-US"/>
              </w:rPr>
            </w:pPr>
            <w:r>
              <w:rPr>
                <w:rFonts w:hint="eastAsia" w:ascii="仿宋_GB2312" w:hAnsi="仿宋_GB2312" w:eastAsia="仿宋_GB2312" w:cs="仿宋_GB2312"/>
                <w:b w:val="0"/>
                <w:bCs/>
                <w:i w:val="0"/>
                <w:iCs w:val="0"/>
                <w:color w:val="000000"/>
                <w:kern w:val="0"/>
                <w:sz w:val="28"/>
                <w:szCs w:val="28"/>
                <w:u w:val="none"/>
                <w:lang w:val="en-US" w:eastAsia="zh-CN" w:bidi="ar"/>
              </w:rPr>
              <w:t>部门/单位</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意见建议</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市发改委</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建议将《附件 3 南昌市大型活动碳中和工作指引》第六条 管理支持“生态环境局、市发改委对全市大型活动碳中和全流程工作进行监督管理”中“市发改委”删去。理由：根据生态环境部发布的《大型活动碳中和实施指南（试行）》和《江西省生态环境厅关于推动开展大型活动碳中和工作的指导意见》，大型活动碳中和由生态环境部门牵头组织管理。</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2</w:t>
            </w:r>
          </w:p>
        </w:tc>
        <w:tc>
          <w:tcPr>
            <w:tcW w:w="222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市财政局</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一、根据《南昌市全面深化零基预算改革实施方案》(洪办发〔2025〕7号)文件精神，严格控制劳务费和委托业务费开支，《南昌市碳普惠管理办法》等3项征求意见稿中提到的工作如相关部门确需委托第三方开展，产生的经费应优先从公用经费等现有经费中开支，财政不再另行安排。</w:t>
            </w:r>
          </w:p>
        </w:tc>
        <w:tc>
          <w:tcPr>
            <w:tcW w:w="281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二、建议将《南昌市大型活动碳中和工作指引(征求意见稿)》第四条：“鼓励本市机关、事业单位和国有企业举办的大型活动发挥引领示范带动作用，率先主动开展碳中和并列支相关预算”修改为“鼓励本市机关、事业单位和国有企业举办的大型活动发挥引领示范带动作用，率先主动开展碳中和”。</w:t>
            </w:r>
          </w:p>
        </w:tc>
        <w:tc>
          <w:tcPr>
            <w:tcW w:w="281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3</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市商务局</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根据南昌市政务服务管理办公室《关于转发〈江西省政务服务管理办公室关于公布江西省行政备案事项清单(2022年版)的通知〉的通知》(洪政服字[2023]5号)精神，会展项目备案事项未纳入江西省行政事项备案清单，予以取消。2022年8月25日南昌市商务局印发的《关于进一步规范我市会展活动备案办法的通知》(洪商务字[2022]127号)同步废止，自本通知印发之日起执行。目前我局已无会展审批备案职能，对大型展会活动碳中和工作无抓手，下步将积极配合贵局倡导展会责任主体做好碳中和相关工作。</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4</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省公共资源交易集团</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如交易系统需要对接管理系统，建议在文中进行明确；</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采纳。将管理办法第二十条修改为“碳普惠减排量交易纳入省公共资源交易中心交易体系，对接碳普惠平台与交易系统，依托其交易规则、交易场所、系统设施与服务开展碳普惠减排量交易。”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5</w:t>
            </w:r>
          </w:p>
        </w:tc>
        <w:tc>
          <w:tcPr>
            <w:tcW w:w="222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省环科院</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建议附件1第十条，删除”重点鼓励开发具备减污降碳协同效应....的碳普惠方法学“中的减污降碳协同效应，理由：碳普惠机制立足于消费端，主要面向个人、家庭和社区，以公众衣、食、住、行、游等场景的绿色低碳行为为载体，鼓励公众践行低碳生活。而减污降碳协同效应主要在生产制造端，不适宜开发碳普惠方法学。</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2.建议附件1统一碳普惠减排量表述，文中还有碳普惠核证减排量、碳减排量的表述.</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3.建议附件3第二条明确多少人的活动为大型活动</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采纳。附件3第二条修改为“本指引所称大型活动，是指本市行政区域范围内参与人数达200人及以上的大型演出、赛事、会议、展览以及其他大型活动。”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4.附件3第五条举办单位可自行开展或委托技术服务机构协助开展碳中和工作，但十五条规定，获取碳中和证书需要技术服务机构客观评价，这二者有矛盾。</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采纳。附件3第十五条修改为“管理机构根据技术服务机构出具的客观评价结论，确认活动符合本指引要求后，为举办单位颁发大型活动碳中和证书，并在管理平台发布。”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5.建议附件3明确第十二条“基本范围”和”拓展范围“的定义</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附件3第十一条“温室气体排放量核算应至少包括举办阶段的排放量，鼓励包括筹备阶段和收尾阶段的排放量。”修改为“温室气体排放量核算应至少包括举办阶段的排放量（以下简称“基本范围”），鼓励包括筹备阶段和收尾阶段的排放量（以下简称“拓展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6.附件3第十二条使用本市产生的国家温室气体自愿减排量是否违背公平竞争原则？是否改成国家核证自愿减排量（CCER），鼓励使用我市项目业主开发产生的CCER。是否可增加南昌市碳普惠减排量作为抵销方式之一。另外，“鼓励参与市场化交易的各类主体将碳配额或碳减排量用于支持大型活动碳中和”，这句话有歧义，是指主动捐赠支持活动碳中和？应予以明确。</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附件3第十二条“举办单位或其委托的技术服务机构可选择......大型活动碳中和的完成时间原则上不晚于大型活动结束后一年内。”修改为“举办单位或其委托的技术服务机构可选择购买南昌市碳普惠核证减排量、国家核证自愿减排量（CCER）、全国碳排放权交易体系的碳配额，鼓励使用南昌市碳普惠核证减排量的抵销方式进行碳中和</w:t>
            </w:r>
            <w:r>
              <w:rPr>
                <w:rFonts w:hint="eastAsia" w:ascii="仿宋_GB2312" w:hAnsi="仿宋_GB2312" w:eastAsia="仿宋_GB2312" w:cs="仿宋_GB2312"/>
                <w:b w:val="0"/>
                <w:bCs/>
                <w:i w:val="0"/>
                <w:iCs w:val="0"/>
                <w:color w:val="000000"/>
                <w:kern w:val="0"/>
                <w:sz w:val="28"/>
                <w:szCs w:val="28"/>
                <w:u w:val="none"/>
                <w:lang w:val="en-US" w:eastAsia="zh-CN" w:bidi="ar"/>
              </w:rPr>
              <w:br w:type="textWrapping"/>
            </w:r>
            <w:r>
              <w:rPr>
                <w:rFonts w:hint="eastAsia" w:ascii="仿宋_GB2312" w:hAnsi="仿宋_GB2312" w:eastAsia="仿宋_GB2312" w:cs="仿宋_GB2312"/>
                <w:b w:val="0"/>
                <w:bCs/>
                <w:i w:val="0"/>
                <w:iCs w:val="0"/>
                <w:color w:val="000000"/>
                <w:kern w:val="0"/>
                <w:sz w:val="28"/>
                <w:szCs w:val="28"/>
                <w:u w:val="none"/>
                <w:lang w:val="en-US" w:eastAsia="zh-CN" w:bidi="ar"/>
              </w:rPr>
              <w:t>已使用的碳配额或碳减排量应在相应的注册登记机构注销，并提供注销证明。</w:t>
            </w:r>
            <w:r>
              <w:rPr>
                <w:rFonts w:hint="eastAsia" w:ascii="仿宋_GB2312" w:hAnsi="仿宋_GB2312" w:eastAsia="仿宋_GB2312" w:cs="仿宋_GB2312"/>
                <w:b w:val="0"/>
                <w:bCs/>
                <w:i w:val="0"/>
                <w:iCs w:val="0"/>
                <w:color w:val="000000"/>
                <w:kern w:val="0"/>
                <w:sz w:val="28"/>
                <w:szCs w:val="28"/>
                <w:u w:val="none"/>
                <w:lang w:val="en-US" w:eastAsia="zh-CN" w:bidi="ar"/>
              </w:rPr>
              <w:br w:type="textWrapping"/>
            </w:r>
            <w:r>
              <w:rPr>
                <w:rFonts w:hint="eastAsia" w:ascii="仿宋_GB2312" w:hAnsi="仿宋_GB2312" w:eastAsia="仿宋_GB2312" w:cs="仿宋_GB2312"/>
                <w:b w:val="0"/>
                <w:bCs/>
                <w:i w:val="0"/>
                <w:iCs w:val="0"/>
                <w:color w:val="000000"/>
                <w:kern w:val="0"/>
                <w:sz w:val="28"/>
                <w:szCs w:val="28"/>
                <w:u w:val="none"/>
                <w:lang w:val="en-US" w:eastAsia="zh-CN" w:bidi="ar"/>
              </w:rPr>
              <w:t>鼓励企业、机构或个人通过捐赠南昌市碳普惠减排量、国家核证自愿减排量（CCER）、全国碳排放权交易体系的碳配额支持大型活动碳中和。大型活动碳中和的完成时间原则上不晚于大型活动结束后一年内。”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6</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市商务局</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根据南昌市政务服务管理办公室《关于转发〈江西省政务服务管理办公室关于公布江西省行政备案事项清单(2022年版)的通知〉的通知》(洪政服字[2023]5号)精神，会展项目备案事项未纳入江西省行政事项备案清单，予以取消。2022年8月25日南昌市商务局印发的《关于进一步规范我市会展活动备案办法的通知》(洪商务字[2022]127号)同步废止，自本通知印发之日起执行。目前我局已无会展审批备案职能，对大型展会活动碳中和工作无抓手，下步将积极配合贵局倡导展会责任主体做好碳中和相关工作。</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7</w:t>
            </w:r>
          </w:p>
        </w:tc>
        <w:tc>
          <w:tcPr>
            <w:tcW w:w="222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市轨道交通集团</w:t>
            </w: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1.管理办法第五条明确了碳普惠管理机构承担碳普惠平台的建设、管理和运营，建议贵局在文件中进一步指定明确管理机构身份，方便我集团后期配合管理机构开展相关工作；</w:t>
            </w:r>
          </w:p>
        </w:tc>
        <w:tc>
          <w:tcPr>
            <w:tcW w:w="28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将管理办法第五条“南昌市碳普惠管理机构（以下简称管理机构）在市生态环境局的指导下......”修改为“南昌碳普惠科技发展有限公司作为南昌市碳普惠管理机构（以下简称管理机构），在市生态环境局的指导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2.根据国家有关法律法规，行踪轨迹属于敏感个人信息，建议在方案中明确：相关数据涉及国家秘密、商业秘密、个人隐私的，应当依法予以保密，任何形式的商业应用均应承担相应法律责任；</w:t>
            </w:r>
          </w:p>
        </w:tc>
        <w:tc>
          <w:tcPr>
            <w:tcW w:w="28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采纳。意见3中涉及公共数据的参照《江西省公共数据资源授权运营管理办法（试行）》执行，非公共数据则由相关主体根据市场化行为协商确定费用，不宜在管理办法中明确。在管理办法中增加“第二十五条  管理机构、碳普惠场景运营主体、碳普惠减排量开发主体以及参与碳普惠的其他主体，应当依据国家法律法规，对涉及国家秘密、商业秘密和个人隐私的信息进行保密并合规应用，同时对因自身原因造成的敏感数据泄露承担相应的法律责任。</w:t>
            </w:r>
            <w:r>
              <w:rPr>
                <w:rFonts w:hint="eastAsia" w:ascii="仿宋_GB2312" w:hAnsi="仿宋_GB2312" w:eastAsia="仿宋_GB2312" w:cs="仿宋_GB2312"/>
                <w:b w:val="0"/>
                <w:bCs/>
                <w:i w:val="0"/>
                <w:iCs w:val="0"/>
                <w:color w:val="000000"/>
                <w:kern w:val="0"/>
                <w:sz w:val="28"/>
                <w:szCs w:val="28"/>
                <w:u w:val="none"/>
                <w:lang w:val="en-US" w:eastAsia="zh-CN" w:bidi="ar"/>
              </w:rPr>
              <w:br w:type="textWrapping"/>
            </w:r>
            <w:r>
              <w:rPr>
                <w:rFonts w:hint="eastAsia" w:ascii="仿宋_GB2312" w:hAnsi="仿宋_GB2312" w:eastAsia="仿宋_GB2312" w:cs="仿宋_GB2312"/>
                <w:b w:val="0"/>
                <w:bCs/>
                <w:i w:val="0"/>
                <w:iCs w:val="0"/>
                <w:color w:val="000000"/>
                <w:kern w:val="0"/>
                <w:sz w:val="28"/>
                <w:szCs w:val="28"/>
                <w:u w:val="none"/>
                <w:lang w:val="en-US" w:eastAsia="zh-CN" w:bidi="ar"/>
              </w:rPr>
              <w:t>第二十六条  涉及公共数据授权运营与开发利用的，参照《江西省公共数据资源授权运营管理办法（试行）》执行。”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3.管理办法第十三条描述了运营主体配合碳普惠平台实现系统对接与保障数据真实准确的义务，但未阐述运营主体系统改造、数据推送使用等产生的费用是否由管理机构承担，建议予以明确；</w:t>
            </w:r>
          </w:p>
        </w:tc>
        <w:tc>
          <w:tcPr>
            <w:tcW w:w="2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center"/>
              <w:rPr>
                <w:rFonts w:hint="eastAsia" w:ascii="仿宋_GB2312" w:hAnsi="仿宋_GB2312" w:eastAsia="仿宋_GB2312" w:cs="仿宋_GB2312"/>
                <w:b w:val="0"/>
                <w:bCs/>
                <w:i w:val="0"/>
                <w:iCs w:val="0"/>
                <w:color w:val="000000"/>
                <w:sz w:val="28"/>
                <w:szCs w:val="28"/>
                <w:u w:val="none"/>
              </w:rPr>
            </w:pPr>
          </w:p>
        </w:tc>
        <w:tc>
          <w:tcPr>
            <w:tcW w:w="222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4.如运营主体按照管理机构要求与碳普惠平台对接并进行了有关数据推送，因数据推送与后续的数据保存、应用造成的敏感数据泄露的相关风险责任应由管理机构全部承担，请予以明确。</w:t>
            </w:r>
          </w:p>
        </w:tc>
        <w:tc>
          <w:tcPr>
            <w:tcW w:w="2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ind w:left="0" w:leftChars="0" w:right="0" w:rightChars="0" w:firstLine="0" w:firstLineChars="0"/>
              <w:jc w:val="left"/>
              <w:rPr>
                <w:rFonts w:hint="eastAsia" w:ascii="仿宋_GB2312" w:hAnsi="仿宋_GB2312" w:eastAsia="仿宋_GB2312" w:cs="仿宋_GB2312"/>
                <w:b w:val="0"/>
                <w:bCs/>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8</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市政公用集团</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9</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安义县人民政府</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10</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青云谱区人民政府</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11</w:t>
            </w:r>
          </w:p>
        </w:tc>
        <w:tc>
          <w:tcPr>
            <w:tcW w:w="2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东湖区人民政府</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12</w:t>
            </w:r>
          </w:p>
        </w:tc>
        <w:tc>
          <w:tcPr>
            <w:tcW w:w="2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西湖区人民政府</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13</w:t>
            </w:r>
          </w:p>
        </w:tc>
        <w:tc>
          <w:tcPr>
            <w:tcW w:w="2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新建区人民政府</w:t>
            </w:r>
          </w:p>
        </w:tc>
        <w:tc>
          <w:tcPr>
            <w:tcW w:w="28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无意见</w:t>
            </w:r>
          </w:p>
        </w:tc>
        <w:tc>
          <w:tcPr>
            <w:tcW w:w="281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 w:val="0"/>
                <w:bCs/>
                <w:i w:val="0"/>
                <w:iCs w:val="0"/>
                <w:color w:val="000000"/>
                <w:sz w:val="28"/>
                <w:szCs w:val="28"/>
                <w:u w:val="none"/>
              </w:rPr>
            </w:pPr>
            <w:r>
              <w:rPr>
                <w:rFonts w:hint="eastAsia" w:ascii="仿宋_GB2312" w:hAnsi="仿宋_GB2312" w:eastAsia="仿宋_GB2312" w:cs="仿宋_GB2312"/>
                <w:b w:val="0"/>
                <w:bCs/>
                <w:i w:val="0"/>
                <w:iCs w:val="0"/>
                <w:color w:val="000000"/>
                <w:kern w:val="0"/>
                <w:sz w:val="28"/>
                <w:szCs w:val="28"/>
                <w:u w:val="none"/>
                <w:lang w:val="en-US" w:eastAsia="zh-CN" w:bidi="ar"/>
              </w:rPr>
              <w:t>/</w:t>
            </w:r>
          </w:p>
        </w:tc>
      </w:tr>
    </w:tbl>
    <w:p>
      <w:pPr>
        <w:pStyle w:val="3"/>
        <w:ind w:left="0" w:leftChars="0" w:firstLine="0" w:firstLineChars="0"/>
        <w:rPr>
          <w:rFonts w:hint="eastAsia"/>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C23125-2B76-41DB-890F-C25FE6E511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5820D06-4D1B-4733-8AFC-200DF3BA7E8B}"/>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2EE38850-4703-4670-88C0-A35AB88DA583}"/>
  </w:font>
  <w:font w:name="仿宋_GB2312">
    <w:panose1 w:val="02010609030101010101"/>
    <w:charset w:val="86"/>
    <w:family w:val="modern"/>
    <w:pitch w:val="default"/>
    <w:sig w:usb0="00000001" w:usb1="080E0000" w:usb2="00000000" w:usb3="00000000" w:csb0="00040000" w:csb1="00000000"/>
    <w:embedRegular r:id="rId4" w:fontKey="{4AFE0AF8-8357-49DC-B62F-6F3C36BD86F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2A3A6B"/>
    <w:multiLevelType w:val="singleLevel"/>
    <w:tmpl w:val="922A3A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DB67D4"/>
    <w:rsid w:val="05CB55F7"/>
    <w:rsid w:val="41521837"/>
    <w:rsid w:val="48DB67D4"/>
    <w:rsid w:val="4A3F0D94"/>
    <w:rsid w:val="4DB85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spacing w:before="240" w:after="60"/>
      <w:outlineLvl w:val="2"/>
    </w:pPr>
    <w:rPr>
      <w:b/>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0"/>
    <w:pPr>
      <w:spacing w:before="50" w:beforeLines="50" w:after="120" w:afterLines="50" w:line="360" w:lineRule="auto"/>
      <w:ind w:firstLine="200" w:firstLineChars="200"/>
    </w:pPr>
    <w:rPr>
      <w:rFonts w:ascii="Times New Roman" w:hAnsi="Times New Roman" w:eastAsia="仿宋"/>
      <w:sz w:val="24"/>
      <w:szCs w:val="20"/>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985</Words>
  <Characters>1001</Characters>
  <Lines>0</Lines>
  <Paragraphs>0</Paragraphs>
  <TotalTime>5</TotalTime>
  <ScaleCrop>false</ScaleCrop>
  <LinksUpToDate>false</LinksUpToDate>
  <CharactersWithSpaces>1002</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2025-11-17T03:26:00Z</dcterms:created>
  <dc:creator>磊  Ray.H</dc:creator>
  <cp:lastModifiedBy>D69TP</cp:lastModifiedBy>
  <dcterms:modified xsi:type="dcterms:W3CDTF">2025-11-28T02:47:43Z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1F5CC1472FA24D1E81EE17D5631A36A6_13</vt:lpwstr>
  </property>
  <property fmtid="{D5CDD505-2E9C-101B-9397-08002B2CF9AE}" pid="4" name="KSOTemplateDocerSaveRecord">
    <vt:lpwstr>eyJoZGlkIjoiODkzZTgwNzQ0NzRhMTk1OTg1N2NjZjlmYzdmNTQyYzgiLCJ1c2VySWQiOiIyOTE0NzI1NDQifQ==</vt:lpwstr>
  </property>
</Properties>
</file>