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南昌市碳普惠管理办法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w:t>
      </w:r>
      <w:bookmarkStart w:id="37" w:name="_GoBack"/>
      <w:bookmarkEnd w:id="37"/>
      <w:r>
        <w:rPr>
          <w:rFonts w:hint="eastAsia" w:ascii="仿宋_GB2312" w:hAnsi="仿宋_GB2312" w:eastAsia="仿宋_GB2312" w:cs="仿宋_GB2312"/>
          <w:sz w:val="32"/>
          <w:szCs w:val="32"/>
          <w:lang w:val="en-US" w:eastAsia="zh-CN"/>
        </w:rPr>
        <w:t>征求意见稿）</w:t>
      </w:r>
    </w:p>
    <w:p>
      <w:pPr>
        <w:pStyle w:val="1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p>
    <w:p>
      <w:pPr>
        <w:pStyle w:val="1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第一章  总则</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第一条　为深入贯彻落实习近平生态文明思想，践行“绿水青山就是金山银山”理念，助力实现碳达峰碳中和目标，倡导绿色低碳生产生活方式，规范碳普惠机制建设、运行、监管等工作，结合本市实际，制定本办法。</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第二条　碳普惠机制的建设和运行应遵循“政府引导、市场运作、社会参与、公开透明”的原则。</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第三条　本办法适用于本市碳普惠机制建设运行及其监督管理，国家、省、市有其他法律法规要求的，遵照执行。</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第四条　市生态环境局负责统筹碳普惠管理相关工作，包括组织制定碳普惠管理配套政策，组建碳普惠专家委员会，监督管理碳普惠方法学、场景及减排量等。各地生态环境部门负责协同推进碳普惠机制建设、管理和宣传引导工作，结合我市绿色低碳发展要求，组织协调碳普惠方法学开发、碳普惠场景创建和减排量消纳等。</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第五条　南昌碳普惠科技发展有限公司作为南昌市碳普惠管理机构（以下简称管理机构），在市生态环境局的指导下，承担碳普惠平台的建设、管理和运营，组织开展碳普惠场景评估、碳中和公益活动，对碳普惠减排量交易、分配、变更、注销等进行登记、管理及各类碳普惠信息发布等工作。</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第六条 碳普惠平台包括碳普惠登记平台、个人低碳生活小程序等子平台，可具备碳账户开立服务、碳普惠减排量登记管理、碳排放在线监测与核查、个人减排行为激励等功能。</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第七条　市生态环境局应根据实际需要，组织对碳普惠管理配套政策文件和方法学等技术文件进行评估与修订。</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第八条　市生态环境局、管理机构应加强与国内其他城市碳普惠工作的交流与对接。</w:t>
      </w:r>
    </w:p>
    <w:p>
      <w:pPr>
        <w:pStyle w:val="1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第二章  碳普惠方法学管理</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第九条　碳普惠方法学的申请应符合《南昌市碳普惠方法学编制大纲与申报流程（试行）》。应具有科学性、准确性、额外性、适用性和可操作性，明确减排量的核算边界与量化规则，便于碳普惠场景的范围界定及碳普惠减排量的核证。</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第十条　市生态环境局可通过公开征集、委托编制等方式组织开发碳普惠方法学。鼓励各类专业机构和人员开发碳普惠方法学。重点鼓励开发具备突出地域特点的碳普惠方法学。</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第十一条　市生态环境局组织碳普惠专家评审会对征集或委托编制的方法学开展技术评估，通过评估的向省生态环境厅备案并予以公布。原则上评审会专家人数不得少于5人。</w:t>
      </w:r>
    </w:p>
    <w:p>
      <w:pPr>
        <w:pStyle w:val="1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p>
    <w:p>
      <w:pPr>
        <w:pStyle w:val="1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第三章  碳普惠减排场景管理</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第十二条　管理机构应对碳普惠减排场景开发与申请进行规范，按规范对减排场景开展审核，通过且公示后予以公布。对于类型复杂的减排场景，可以由碳普惠专家评审会对减排场景开展技术论证。减排场景申请主体可以是减排场景开发主体，或者减排场景开发主体委托的机构。</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第十三条　通过审核的减排场景，其运营主体应当和碳普惠平台实现系统对接，并符合碳普惠管理运营平台数据接入的技术要求，在确保数据安全和不泄露用户隐私的前提下，将有关信息向管理机构推送碳减排行为有关数据，并对数据的真实性、准确性、有效性负责。</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第十四条　管理机构依据碳普惠方法学，通过碳普惠平台在线核算减排量并予以登记，发放至个人碳账户。</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第十五条　碳普惠场景的运营主体可根据自身需求，制定正向激励措施，对场景内公众碳减排行为给予相应积分兑换产生的碳普惠减排量，兑换机制由管理机构和场景运营主体共同制定。</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第十六条　已经公示或签发的碳普惠减排量，不得重复申报国内外温室气体自愿减排机制或环境权益。</w:t>
      </w:r>
    </w:p>
    <w:p>
      <w:pPr>
        <w:pStyle w:val="1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第四章  碳普惠减排量交易与消纳</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第十七条　碳普惠减排量交易主体包括自然人、法人和非法人组织。</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第十八条　碳普惠减排量交易品种包括经碳普惠平台登记的碳普惠减排量和其他符合规定的交易产品。</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第十九条　鼓励有意向的机关、企事业单位、社会团体、其他社会组织等作为碳普惠权益提供主体参与搭建碳普惠商城，丰富碳普惠减排量兑换渠道，通过权益兑换归集公众碳普惠减排量。碳普惠权益提供平台应当和碳普惠管理平台实现系统对接。</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第二十条　碳普惠减排量交易纳入省公共资源交易中心交易体系，对接碳普惠平台与交易系统，依托其交易规则、交易场所、系统设施与服务开展碳普惠减排量交易。</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第二十一条　对于购买并注销碳普惠减排量的，应向管理机构提出申请。对于进行了自愿碳中和的，应向管理机构提交专业技术服务机构提供的认定报告及碳中和证书，经管理机构审核后在南昌碳普惠平台上予以发布。</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鼓励社会各界通过购买或自愿消纳碳普惠减排量等方式参与碳中和、生态环境保护等公益活动，践行绿色低碳发展理念。</w:t>
      </w:r>
    </w:p>
    <w:p>
      <w:pPr>
        <w:pStyle w:val="1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第五章  激励、监督与管理</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第二十二条　市生态环境局定期向社会公开碳普惠专家委员会、碳普惠方法学、碳普惠减排场景及碳普惠减排量等有关信息，接受社会监督。</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第二十三条　管理机构应当遵守国家及省交易监管等相关规定，在职责范围内依法对碳普惠场景、碳普惠减排量交易情况等信息进行披露。</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管理机构及其工作人员不得利用职务便利谋取不正当利益，不得泄露商业秘密，不得滥用职权、玩忽职守和徇私舞弊；出现违反国家及省交易监管规定或其他违法违规行为的，依法追究责任。</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第二十四条　碳普惠场景运营主体、碳普惠减排量开发主体及参与碳普惠的其他主体违反本办法或其他相关规定，出现提供虚假、伪造不实内容等不诚信行为及未经许可擅自使用或泄露用户信息等行为的，管理机构可以视情节严重程度对其采取暂停或终止服务和交易的措施。</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第二十五条  管理机构、碳普惠场景运营主体、碳普惠减排量开发主体以及参与碳普惠的其他主体，应当依据国家法律法规，对涉及国家秘密、商业秘密和个人隐私的信息进行保密并合规应用，同时对因自身原因造成的敏感数据泄露承担相应的法律责任。</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第二十六条  涉及公共数据授权运营与开发利用的，参照</w:t>
      </w:r>
      <w:r>
        <w:rPr>
          <w:rFonts w:hint="eastAsia" w:ascii="仿宋_GB2312" w:hAnsi="仿宋_GB2312" w:eastAsia="仿宋_GB2312" w:cs="仿宋_GB2312"/>
          <w:kern w:val="2"/>
          <w:sz w:val="32"/>
          <w:szCs w:val="32"/>
          <w:lang w:val="en-US" w:eastAsia="zh-CN" w:bidi="ar"/>
        </w:rPr>
        <w:t>《江西省公共数据资源授权运营管理办法（试行）》执行。</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第二十七条　任何单位或个人发现管理机构、技术服务机构或其他碳普惠参与主体有违反本办法规定行为的，有权向市级或所属辖区生态环境部门举报。</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受理举报的生态环境部门应当依法进行核实处理，并按照有关规定反馈处理结果，同时为举报人保密。</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第二十八条　市生态环境局对碳减排效益显著、示范引领作用突出的碳普惠场景、减排量开发主体进行激励与宣传推广；推动将碳账户有关信息共享至政府有关部门、金融机构，鼓励金融机构提供多样化的碳普惠金融产品和服务，支持碳减排技术研发和创新。</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第二十九条　本办法由市生态环境局负责解释。</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第三十条　本办法自202 年 月 日起施行，有效期至202 年 月  日。</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p>
    <w:p>
      <w:pPr>
        <w:pStyle w:val="1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p>
    <w:p>
      <w:pPr>
        <w:pStyle w:val="1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 则</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本办法中下列用语的含义：</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（一）碳普惠：是指为中小微企业、社会组织和个人的节能减碳行为进行具体量化和赋予一定价值，并建立以政策激励、商业奖励和碳普惠减排量交易相结合的正向引导机制。</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（二）碳普惠方法学：是指用于确定特定领域碳普惠减排项目或碳普惠减排场景碳减排的基准线识别、额外性论证、减排量核算和监测计划制定的技术指引文件。</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（三）碳普惠减排场景：指个人参与的衣、食、住、行、用等领域能够产生碳普惠减排量的场景。</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（四）碳普惠减排量：是指对碳普惠减排场景所产生的碳减排效果进行量化核证后的碳减排量，单位以“克二氧化碳当量（gCO2e）”计。</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（五）碳账户：是指自然人、法人和非法人组织在碳普惠平台开立的账户，分为个人碳账户、机构碳账户，用于碳普惠减排量的登记及管理。</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（六）减排场景开发主体：指为个人提供实施减排行为场所或者设施并承担减排场景建设与运维、数据记录等责任，并符合场景方法学要求的机关、企事业单位、社会团体、其他社会组织等。</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（七）碳普惠权益提供主体：指为个人实现碳积分权益兑换提供商品、服务等权益的减排场景开发主体或者其他机关、企事业单位、社会团体和其他社会组织等。</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（八）碳普惠低碳商城：指碳普惠平台中碳普惠减排量权益兑换的在线商城系统。</w:t>
      </w:r>
    </w:p>
    <w:p>
      <w:pPr>
        <w:pStyle w:val="8"/>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ascii="仿宋" w:hAnsi="仿宋" w:eastAsia="仿宋" w:cs="仿宋_GB2312"/>
        </w:rPr>
        <w:sectPr>
          <w:footerReference r:id="rId3" w:type="default"/>
          <w:pgSz w:w="11906" w:h="16838"/>
          <w:pgMar w:top="2098" w:right="1474" w:bottom="1985" w:left="1588" w:header="851" w:footer="992" w:gutter="0"/>
          <w:pgNumType w:fmt="numberInDash"/>
          <w:cols w:space="425" w:num="1"/>
          <w:docGrid w:type="lines" w:linePitch="312" w:charSpace="0"/>
        </w:sectPr>
      </w:pPr>
    </w:p>
    <w:p>
      <w:pPr>
        <w:pStyle w:val="12"/>
        <w:rPr>
          <w:rFonts w:hint="eastAsia" w:hAnsi="黑体" w:eastAsia="黑体" w:cs="黑体"/>
          <w:sz w:val="32"/>
          <w:szCs w:val="32"/>
          <w:lang w:val="en-US" w:eastAsia="zh-CN"/>
        </w:rPr>
      </w:pPr>
      <w:r>
        <w:rPr>
          <w:rFonts w:hint="eastAsia" w:ascii="黑体" w:hAnsi="黑体" w:eastAsia="黑体" w:cs="黑体"/>
          <w:sz w:val="32"/>
          <w:szCs w:val="32"/>
          <w:lang w:val="en-US" w:eastAsia="zh-CN"/>
        </w:rPr>
        <w:t>附件</w:t>
      </w:r>
      <w:r>
        <w:rPr>
          <w:rFonts w:hint="eastAsia" w:hAnsi="黑体" w:eastAsia="黑体" w:cs="黑体"/>
          <w:sz w:val="32"/>
          <w:szCs w:val="32"/>
          <w:lang w:val="en-US" w:eastAsia="zh-CN"/>
        </w:rPr>
        <w:t>2</w:t>
      </w:r>
      <w:bookmarkStart w:id="0" w:name="_Toc28258"/>
    </w:p>
    <w:p>
      <w:pPr>
        <w:rPr>
          <w:rFonts w:hint="eastAsia"/>
          <w:b w:val="0"/>
          <w:bCs w:val="0"/>
          <w:lang w:val="en-US" w:eastAsia="zh-CN"/>
        </w:rPr>
      </w:pPr>
    </w:p>
    <w:bookmarkEnd w:id="0"/>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楷体_GB2312" w:hAnsi="楷体_GB2312" w:eastAsia="楷体_GB2312" w:cs="楷体_GB2312"/>
          <w:b w:val="0"/>
          <w:bCs w:val="0"/>
          <w:sz w:val="32"/>
          <w:szCs w:val="32"/>
          <w:lang w:val="en-US" w:eastAsia="zh-CN"/>
        </w:rPr>
      </w:pPr>
      <w:r>
        <w:rPr>
          <w:rFonts w:hint="eastAsia" w:ascii="方正小标宋简体" w:hAnsi="方正小标宋简体" w:eastAsia="方正小标宋简体" w:cs="方正小标宋简体"/>
          <w:b w:val="0"/>
          <w:bCs w:val="0"/>
          <w:sz w:val="44"/>
          <w:szCs w:val="44"/>
          <w:lang w:val="en-US" w:eastAsia="zh-CN"/>
        </w:rPr>
        <w:t>南昌</w:t>
      </w:r>
      <w:r>
        <w:rPr>
          <w:rFonts w:hint="eastAsia" w:ascii="方正小标宋简体" w:hAnsi="方正小标宋简体" w:eastAsia="方正小标宋简体" w:cs="方正小标宋简体"/>
          <w:b w:val="0"/>
          <w:bCs w:val="0"/>
          <w:sz w:val="44"/>
          <w:szCs w:val="44"/>
          <w:lang w:eastAsia="zh-Hans"/>
        </w:rPr>
        <w:t>市碳普惠方法学编制大纲</w:t>
      </w:r>
      <w:r>
        <w:rPr>
          <w:rFonts w:hint="eastAsia" w:ascii="方正小标宋简体" w:hAnsi="方正小标宋简体" w:eastAsia="方正小标宋简体" w:cs="方正小标宋简体"/>
          <w:b w:val="0"/>
          <w:bCs w:val="0"/>
          <w:sz w:val="44"/>
          <w:szCs w:val="44"/>
          <w:lang w:val="en-US" w:eastAsia="zh-CN"/>
        </w:rPr>
        <w:t>与申报流程</w:t>
      </w:r>
      <w:r>
        <w:rPr>
          <w:rFonts w:hint="eastAsia" w:ascii="楷体_GB2312" w:hAnsi="楷体_GB2312" w:eastAsia="楷体_GB2312" w:cs="楷体_GB2312"/>
          <w:b w:val="0"/>
          <w:bCs w:val="0"/>
          <w:sz w:val="32"/>
          <w:szCs w:val="32"/>
          <w:lang w:val="en-US" w:eastAsia="zh-CN"/>
        </w:rPr>
        <w:t>（试行）</w:t>
      </w:r>
    </w:p>
    <w:p>
      <w:pPr>
        <w:keepNext w:val="0"/>
        <w:keepLines w:val="0"/>
        <w:pageBreakBefore w:val="0"/>
        <w:kinsoku/>
        <w:wordWrap/>
        <w:overflowPunct/>
        <w:topLinePunct w:val="0"/>
        <w:autoSpaceDE/>
        <w:autoSpaceDN/>
        <w:bidi w:val="0"/>
        <w:spacing w:line="560" w:lineRule="exact"/>
        <w:textAlignment w:val="auto"/>
        <w:outlineLvl w:val="0"/>
        <w:rPr>
          <w:rFonts w:hint="eastAsia" w:ascii="仿宋_GB2312" w:hAnsi="仿宋_GB2312" w:eastAsia="仿宋_GB2312" w:cs="仿宋_GB2312"/>
          <w:b w:val="0"/>
          <w:bCs w:val="0"/>
          <w:kern w:val="0"/>
          <w:sz w:val="32"/>
          <w:szCs w:val="32"/>
          <w:lang w:val="en-US" w:eastAsia="zh-CN"/>
        </w:rPr>
      </w:pPr>
      <w:bookmarkStart w:id="1" w:name="_Toc29334"/>
    </w:p>
    <w:p>
      <w:pPr>
        <w:keepNext w:val="0"/>
        <w:keepLines w:val="0"/>
        <w:pageBreakBefore w:val="0"/>
        <w:kinsoku/>
        <w:wordWrap/>
        <w:overflowPunct/>
        <w:topLinePunct w:val="0"/>
        <w:autoSpaceDE/>
        <w:autoSpaceDN/>
        <w:bidi w:val="0"/>
        <w:spacing w:line="560" w:lineRule="exact"/>
        <w:textAlignment w:val="auto"/>
        <w:outlineLvl w:val="0"/>
        <w:rPr>
          <w:rFonts w:hint="eastAsia" w:ascii="黑体" w:hAnsi="黑体" w:eastAsia="黑体" w:cs="黑体"/>
          <w:b w:val="0"/>
          <w:bCs w:val="0"/>
          <w:kern w:val="0"/>
          <w:sz w:val="32"/>
          <w:szCs w:val="32"/>
          <w:lang w:val="en-US" w:eastAsia="zh-CN"/>
        </w:rPr>
      </w:pPr>
      <w:r>
        <w:rPr>
          <w:rFonts w:hint="eastAsia" w:ascii="黑体" w:hAnsi="黑体" w:eastAsia="黑体" w:cs="黑体"/>
          <w:b w:val="0"/>
          <w:bCs w:val="0"/>
          <w:kern w:val="0"/>
          <w:sz w:val="32"/>
          <w:szCs w:val="32"/>
          <w:lang w:val="en-US" w:eastAsia="zh-CN"/>
        </w:rPr>
        <w:t>一、方法学编制大纲</w:t>
      </w:r>
      <w:bookmarkEnd w:id="1"/>
    </w:p>
    <w:p>
      <w:pPr>
        <w:keepNext w:val="0"/>
        <w:keepLines w:val="0"/>
        <w:pageBreakBefore w:val="0"/>
        <w:kinsoku/>
        <w:wordWrap/>
        <w:overflowPunct/>
        <w:topLinePunct w:val="0"/>
        <w:autoSpaceDE/>
        <w:autoSpaceDN/>
        <w:bidi w:val="0"/>
        <w:spacing w:line="560" w:lineRule="exact"/>
        <w:ind w:firstLine="640" w:firstLineChars="200"/>
        <w:textAlignment w:val="auto"/>
        <w:outlineLvl w:val="1"/>
        <w:rPr>
          <w:rFonts w:hint="eastAsia" w:ascii="楷体_GB2312" w:hAnsi="楷体_GB2312" w:eastAsia="楷体_GB2312" w:cs="楷体_GB2312"/>
          <w:b w:val="0"/>
          <w:bCs w:val="0"/>
          <w:kern w:val="0"/>
          <w:sz w:val="32"/>
          <w:szCs w:val="32"/>
        </w:rPr>
      </w:pPr>
      <w:bookmarkStart w:id="2" w:name="_Toc18824"/>
      <w:r>
        <w:rPr>
          <w:rFonts w:hint="eastAsia" w:ascii="楷体_GB2312" w:hAnsi="楷体_GB2312" w:eastAsia="楷体_GB2312" w:cs="楷体_GB2312"/>
          <w:b w:val="0"/>
          <w:bCs w:val="0"/>
          <w:kern w:val="0"/>
          <w:sz w:val="32"/>
          <w:szCs w:val="32"/>
          <w:lang w:eastAsia="zh-CN"/>
        </w:rPr>
        <w:t>（</w:t>
      </w:r>
      <w:r>
        <w:rPr>
          <w:rFonts w:hint="eastAsia" w:ascii="楷体_GB2312" w:hAnsi="楷体_GB2312" w:eastAsia="楷体_GB2312" w:cs="楷体_GB2312"/>
          <w:b w:val="0"/>
          <w:bCs w:val="0"/>
          <w:kern w:val="0"/>
          <w:sz w:val="32"/>
          <w:szCs w:val="32"/>
          <w:lang w:val="en-US" w:eastAsia="zh-CN"/>
        </w:rPr>
        <w:t>一</w:t>
      </w:r>
      <w:r>
        <w:rPr>
          <w:rFonts w:hint="eastAsia" w:ascii="楷体_GB2312" w:hAnsi="楷体_GB2312" w:eastAsia="楷体_GB2312" w:cs="楷体_GB2312"/>
          <w:b w:val="0"/>
          <w:bCs w:val="0"/>
          <w:kern w:val="0"/>
          <w:sz w:val="32"/>
          <w:szCs w:val="32"/>
          <w:lang w:eastAsia="zh-CN"/>
        </w:rPr>
        <w:t>）</w:t>
      </w:r>
      <w:r>
        <w:rPr>
          <w:rFonts w:hint="eastAsia" w:ascii="楷体_GB2312" w:hAnsi="楷体_GB2312" w:eastAsia="楷体_GB2312" w:cs="楷体_GB2312"/>
          <w:b w:val="0"/>
          <w:bCs w:val="0"/>
          <w:kern w:val="0"/>
          <w:sz w:val="32"/>
          <w:szCs w:val="32"/>
        </w:rPr>
        <w:t>总体要求</w:t>
      </w:r>
      <w:bookmarkEnd w:id="2"/>
    </w:p>
    <w:p>
      <w:pPr>
        <w:keepNext w:val="0"/>
        <w:keepLines w:val="0"/>
        <w:pageBreakBefore w:val="0"/>
        <w:numPr>
          <w:ilvl w:val="0"/>
          <w:numId w:val="1"/>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bCs w:val="0"/>
          <w:sz w:val="32"/>
          <w:szCs w:val="32"/>
          <w:lang w:eastAsia="zh-Hans"/>
        </w:rPr>
      </w:pPr>
      <w:bookmarkStart w:id="3" w:name="_Toc18306"/>
      <w:r>
        <w:rPr>
          <w:rFonts w:hint="eastAsia" w:ascii="仿宋_GB2312" w:hAnsi="仿宋_GB2312" w:eastAsia="仿宋_GB2312" w:cs="仿宋_GB2312"/>
          <w:b w:val="0"/>
          <w:bCs w:val="0"/>
          <w:sz w:val="32"/>
          <w:szCs w:val="32"/>
          <w:lang w:eastAsia="zh-Hans"/>
        </w:rPr>
        <w:t>编制原则</w:t>
      </w:r>
      <w:bookmarkEnd w:id="3"/>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Cs w:val="0"/>
          <w:sz w:val="32"/>
          <w:szCs w:val="32"/>
          <w:lang w:val="en-US" w:eastAsia="zh-CN"/>
        </w:rPr>
        <w:t>南昌</w:t>
      </w:r>
      <w:r>
        <w:rPr>
          <w:rFonts w:hint="eastAsia" w:ascii="仿宋_GB2312" w:hAnsi="仿宋_GB2312" w:eastAsia="仿宋_GB2312" w:cs="仿宋_GB2312"/>
          <w:bCs w:val="0"/>
          <w:sz w:val="32"/>
          <w:szCs w:val="32"/>
          <w:lang w:eastAsia="zh-Hans"/>
        </w:rPr>
        <w:t>市碳普惠</w:t>
      </w:r>
      <w:r>
        <w:rPr>
          <w:rFonts w:hint="eastAsia" w:ascii="仿宋_GB2312" w:hAnsi="仿宋_GB2312" w:eastAsia="仿宋_GB2312" w:cs="仿宋_GB2312"/>
          <w:sz w:val="32"/>
          <w:szCs w:val="32"/>
          <w:lang w:eastAsia="zh-Hans"/>
        </w:rPr>
        <w:t>方法学</w:t>
      </w:r>
      <w:r>
        <w:rPr>
          <w:rFonts w:hint="eastAsia" w:ascii="仿宋_GB2312" w:hAnsi="仿宋_GB2312" w:eastAsia="仿宋_GB2312" w:cs="仿宋_GB2312"/>
          <w:sz w:val="32"/>
          <w:szCs w:val="32"/>
        </w:rPr>
        <w:t>（以下简称方法学）</w:t>
      </w:r>
      <w:r>
        <w:rPr>
          <w:rFonts w:hint="eastAsia" w:ascii="仿宋_GB2312" w:hAnsi="仿宋_GB2312" w:eastAsia="仿宋_GB2312" w:cs="仿宋_GB2312"/>
          <w:sz w:val="32"/>
          <w:szCs w:val="32"/>
          <w:lang w:eastAsia="zh-Hans"/>
        </w:rPr>
        <w:t>编制应遵循科学性、准确性、保守性、适用性、可操作性和前瞻性原则。方法学编制依托的</w:t>
      </w:r>
      <w:r>
        <w:rPr>
          <w:rFonts w:hint="eastAsia" w:ascii="仿宋_GB2312" w:hAnsi="仿宋_GB2312" w:eastAsia="仿宋_GB2312" w:cs="仿宋_GB2312"/>
          <w:sz w:val="32"/>
          <w:szCs w:val="32"/>
          <w:lang w:val="en-US" w:eastAsia="zh-CN"/>
        </w:rPr>
        <w:t>碳普惠减排场景个人</w:t>
      </w:r>
      <w:r>
        <w:rPr>
          <w:rFonts w:hint="eastAsia" w:ascii="仿宋_GB2312" w:hAnsi="仿宋_GB2312" w:eastAsia="仿宋_GB2312" w:cs="仿宋_GB2312"/>
          <w:sz w:val="32"/>
          <w:szCs w:val="32"/>
          <w:lang w:eastAsia="zh-Hans"/>
        </w:rPr>
        <w:t>碳减排行为</w:t>
      </w:r>
      <w:r>
        <w:rPr>
          <w:rFonts w:hint="eastAsia" w:ascii="仿宋_GB2312" w:hAnsi="仿宋_GB2312" w:eastAsia="仿宋_GB2312" w:cs="仿宋_GB2312"/>
          <w:sz w:val="32"/>
          <w:szCs w:val="32"/>
        </w:rPr>
        <w:t>（以下简称</w:t>
      </w:r>
      <w:r>
        <w:rPr>
          <w:rFonts w:hint="eastAsia" w:ascii="仿宋_GB2312" w:hAnsi="仿宋_GB2312" w:eastAsia="仿宋_GB2312" w:cs="仿宋_GB2312"/>
          <w:sz w:val="32"/>
          <w:szCs w:val="32"/>
          <w:lang w:val="en-US" w:eastAsia="zh-CN"/>
        </w:rPr>
        <w:t>减排</w:t>
      </w:r>
      <w:r>
        <w:rPr>
          <w:rFonts w:hint="eastAsia" w:ascii="仿宋_GB2312" w:hAnsi="仿宋_GB2312" w:eastAsia="仿宋_GB2312" w:cs="仿宋_GB2312"/>
          <w:sz w:val="32"/>
          <w:szCs w:val="32"/>
        </w:rPr>
        <w:t>行为）</w:t>
      </w:r>
      <w:r>
        <w:rPr>
          <w:rFonts w:hint="eastAsia" w:ascii="仿宋_GB2312" w:hAnsi="仿宋_GB2312" w:eastAsia="仿宋_GB2312" w:cs="仿宋_GB2312"/>
          <w:sz w:val="32"/>
          <w:szCs w:val="32"/>
          <w:lang w:eastAsia="zh-Hans"/>
        </w:rPr>
        <w:t>应</w:t>
      </w:r>
      <w:r>
        <w:rPr>
          <w:rFonts w:hint="eastAsia" w:ascii="仿宋_GB2312" w:hAnsi="仿宋_GB2312" w:eastAsia="仿宋_GB2312" w:cs="仿宋_GB2312"/>
          <w:sz w:val="32"/>
          <w:szCs w:val="32"/>
        </w:rPr>
        <w:t>具有较为显著的温室气体减排效果和低碳示范效应，</w:t>
      </w:r>
      <w:r>
        <w:rPr>
          <w:rFonts w:hint="eastAsia" w:ascii="仿宋_GB2312" w:hAnsi="仿宋_GB2312" w:eastAsia="仿宋_GB2312" w:cs="仿宋_GB2312"/>
          <w:sz w:val="32"/>
          <w:szCs w:val="32"/>
          <w:lang w:eastAsia="zh-Hans"/>
        </w:rPr>
        <w:t>并具有一定政策引导性，须至少满足以下一个条件：</w:t>
      </w:r>
      <w:r>
        <w:rPr>
          <w:rFonts w:hint="eastAsia" w:ascii="仿宋_GB2312" w:hAnsi="仿宋_GB2312" w:eastAsia="仿宋_GB2312" w:cs="仿宋_GB2312"/>
          <w:sz w:val="32"/>
          <w:szCs w:val="32"/>
          <w:lang w:val="en-US" w:eastAsia="zh-CN"/>
        </w:rPr>
        <w:t xml:space="preserve">  </w:t>
      </w:r>
    </w:p>
    <w:p>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eastAsia="zh-Hans"/>
        </w:rPr>
      </w:pPr>
      <w:r>
        <w:rPr>
          <w:rFonts w:hint="eastAsia" w:ascii="仿宋_GB2312" w:hAnsi="仿宋_GB2312" w:eastAsia="仿宋_GB2312" w:cs="仿宋_GB2312"/>
          <w:b w:val="0"/>
          <w:bCs w:val="0"/>
          <w:sz w:val="32"/>
          <w:szCs w:val="32"/>
          <w:lang w:val="en-US" w:eastAsia="zh-Hans"/>
        </w:rPr>
        <w:t>（1）</w:t>
      </w:r>
      <w:r>
        <w:rPr>
          <w:rFonts w:hint="eastAsia" w:ascii="仿宋_GB2312" w:hAnsi="仿宋_GB2312" w:eastAsia="仿宋_GB2312" w:cs="仿宋_GB2312"/>
          <w:sz w:val="32"/>
          <w:szCs w:val="32"/>
          <w:lang w:eastAsia="zh-Hans"/>
        </w:rPr>
        <w:t>有利于引导公众自觉践行简约适度、绿色低碳的生活方式；</w:t>
      </w:r>
    </w:p>
    <w:p>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eastAsia="zh-Hans"/>
        </w:rPr>
      </w:pP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sz w:val="32"/>
          <w:szCs w:val="32"/>
          <w:lang w:eastAsia="zh-Hans"/>
        </w:rPr>
        <w:t>有利于促进区域生活服务领域节能减排；</w:t>
      </w:r>
    </w:p>
    <w:p>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eastAsia="zh-Hans"/>
        </w:rPr>
      </w:pP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sz w:val="32"/>
          <w:szCs w:val="32"/>
          <w:lang w:eastAsia="zh-Hans"/>
        </w:rPr>
        <w:t>有利于协同推进降碳、减污、扩绿、增长，发挥政策协同效应；</w:t>
      </w:r>
    </w:p>
    <w:p>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eastAsia="zh-Hans"/>
        </w:rPr>
      </w:pP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sz w:val="32"/>
          <w:szCs w:val="32"/>
          <w:lang w:eastAsia="zh-Hans"/>
        </w:rPr>
        <w:t>有利于加速推动区域绿色消费转型，引导全社会绿色低碳</w:t>
      </w:r>
      <w:r>
        <w:rPr>
          <w:rFonts w:hint="eastAsia" w:ascii="仿宋_GB2312" w:hAnsi="仿宋_GB2312" w:eastAsia="仿宋_GB2312" w:cs="仿宋_GB2312"/>
          <w:sz w:val="32"/>
          <w:szCs w:val="32"/>
        </w:rPr>
        <w:t>发展</w:t>
      </w:r>
      <w:r>
        <w:rPr>
          <w:rFonts w:hint="eastAsia" w:ascii="仿宋_GB2312" w:hAnsi="仿宋_GB2312" w:eastAsia="仿宋_GB2312" w:cs="仿宋_GB2312"/>
          <w:sz w:val="32"/>
          <w:szCs w:val="32"/>
          <w:lang w:eastAsia="zh-Hans"/>
        </w:rPr>
        <w:t>。</w:t>
      </w:r>
    </w:p>
    <w:p>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sz w:val="32"/>
          <w:szCs w:val="32"/>
          <w:lang w:eastAsia="zh-Hans"/>
        </w:rPr>
      </w:pPr>
      <w:r>
        <w:rPr>
          <w:rFonts w:hint="eastAsia" w:ascii="仿宋_GB2312" w:hAnsi="仿宋_GB2312" w:eastAsia="仿宋_GB2312" w:cs="仿宋_GB2312"/>
          <w:sz w:val="32"/>
          <w:szCs w:val="32"/>
          <w:lang w:eastAsia="zh-Hans"/>
        </w:rPr>
        <w:t>此外，方法学所依托的</w:t>
      </w:r>
      <w:r>
        <w:rPr>
          <w:rFonts w:hint="eastAsia" w:ascii="仿宋_GB2312" w:hAnsi="仿宋_GB2312" w:eastAsia="仿宋_GB2312" w:cs="仿宋_GB2312"/>
          <w:sz w:val="32"/>
          <w:szCs w:val="32"/>
          <w:lang w:eastAsia="zh-CN"/>
        </w:rPr>
        <w:t>减排行为</w:t>
      </w:r>
      <w:r>
        <w:rPr>
          <w:rFonts w:hint="eastAsia" w:ascii="仿宋_GB2312" w:hAnsi="仿宋_GB2312" w:eastAsia="仿宋_GB2312" w:cs="仿宋_GB2312"/>
          <w:sz w:val="32"/>
          <w:szCs w:val="32"/>
          <w:lang w:eastAsia="zh-Hans"/>
        </w:rPr>
        <w:t>应核算边界清晰</w:t>
      </w:r>
      <w:r>
        <w:rPr>
          <w:rFonts w:hint="eastAsia" w:ascii="仿宋_GB2312" w:hAnsi="仿宋_GB2312" w:eastAsia="仿宋_GB2312" w:cs="仿宋_GB2312"/>
          <w:sz w:val="32"/>
          <w:szCs w:val="32"/>
        </w:rPr>
        <w:t>，具备可复制、可推广的现实条件。</w:t>
      </w:r>
    </w:p>
    <w:p>
      <w:pPr>
        <w:keepNext w:val="0"/>
        <w:keepLines w:val="0"/>
        <w:pageBreakBefore w:val="0"/>
        <w:numPr>
          <w:ilvl w:val="0"/>
          <w:numId w:val="1"/>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bCs w:val="0"/>
          <w:sz w:val="32"/>
          <w:szCs w:val="32"/>
          <w:lang w:eastAsia="zh-Hans"/>
        </w:rPr>
      </w:pPr>
      <w:bookmarkStart w:id="4" w:name="_Toc19349"/>
      <w:r>
        <w:rPr>
          <w:rFonts w:hint="eastAsia" w:ascii="仿宋_GB2312" w:hAnsi="仿宋_GB2312" w:eastAsia="仿宋_GB2312" w:cs="仿宋_GB2312"/>
          <w:b w:val="0"/>
          <w:bCs w:val="0"/>
          <w:sz w:val="32"/>
          <w:szCs w:val="32"/>
          <w:lang w:eastAsia="zh-Hans"/>
        </w:rPr>
        <w:t>方法学领域</w:t>
      </w:r>
      <w:bookmarkEnd w:id="4"/>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eastAsia="zh-Hans"/>
        </w:rPr>
      </w:pPr>
      <w:r>
        <w:rPr>
          <w:rFonts w:hint="eastAsia" w:ascii="仿宋_GB2312" w:hAnsi="仿宋_GB2312" w:eastAsia="仿宋_GB2312" w:cs="仿宋_GB2312"/>
          <w:sz w:val="32"/>
          <w:szCs w:val="32"/>
          <w:lang w:val="en-US" w:eastAsia="zh-CN"/>
        </w:rPr>
        <w:t>碳普惠</w:t>
      </w:r>
      <w:r>
        <w:rPr>
          <w:rFonts w:hint="eastAsia" w:ascii="仿宋_GB2312" w:hAnsi="仿宋_GB2312" w:eastAsia="仿宋_GB2312" w:cs="仿宋_GB2312"/>
          <w:sz w:val="32"/>
          <w:szCs w:val="32"/>
          <w:lang w:eastAsia="zh-Hans"/>
        </w:rPr>
        <w:t>方法学领域包括</w:t>
      </w:r>
      <w:r>
        <w:rPr>
          <w:rFonts w:hint="eastAsia" w:ascii="仿宋_GB2312" w:hAnsi="仿宋_GB2312" w:eastAsia="仿宋_GB2312" w:cs="仿宋_GB2312"/>
          <w:sz w:val="32"/>
          <w:szCs w:val="32"/>
          <w:lang w:val="en-US" w:eastAsia="zh-CN"/>
        </w:rPr>
        <w:t>公众衣、食、住、行、用</w:t>
      </w:r>
      <w:r>
        <w:rPr>
          <w:rFonts w:hint="eastAsia" w:ascii="仿宋_GB2312" w:hAnsi="仿宋_GB2312" w:eastAsia="仿宋_GB2312" w:cs="仿宋_GB2312"/>
          <w:sz w:val="32"/>
          <w:szCs w:val="32"/>
          <w:lang w:eastAsia="zh-Hans"/>
        </w:rPr>
        <w:t>等</w:t>
      </w:r>
      <w:r>
        <w:rPr>
          <w:rFonts w:hint="eastAsia" w:ascii="仿宋_GB2312" w:hAnsi="仿宋_GB2312" w:eastAsia="仿宋_GB2312" w:cs="仿宋_GB2312"/>
          <w:sz w:val="32"/>
          <w:szCs w:val="32"/>
          <w:lang w:val="en-US" w:eastAsia="zh-CN"/>
        </w:rPr>
        <w:t>领域</w:t>
      </w:r>
      <w:r>
        <w:rPr>
          <w:rFonts w:hint="eastAsia" w:ascii="仿宋_GB2312" w:hAnsi="仿宋_GB2312" w:eastAsia="仿宋_GB2312" w:cs="仿宋_GB2312"/>
          <w:sz w:val="32"/>
          <w:szCs w:val="32"/>
          <w:lang w:eastAsia="zh-Hans"/>
        </w:rPr>
        <w:t>。</w:t>
      </w:r>
      <w:r>
        <w:rPr>
          <w:rFonts w:hint="eastAsia" w:ascii="仿宋_GB2312" w:hAnsi="仿宋_GB2312" w:eastAsia="仿宋_GB2312" w:cs="仿宋_GB2312"/>
          <w:sz w:val="32"/>
          <w:szCs w:val="32"/>
          <w:lang w:eastAsia="zh-CN"/>
        </w:rPr>
        <w:t>减排行为</w:t>
      </w:r>
      <w:r>
        <w:rPr>
          <w:rFonts w:hint="eastAsia" w:ascii="仿宋_GB2312" w:hAnsi="仿宋_GB2312" w:eastAsia="仿宋_GB2312" w:cs="仿宋_GB2312"/>
          <w:sz w:val="32"/>
          <w:szCs w:val="32"/>
          <w:lang w:eastAsia="zh-Hans"/>
        </w:rPr>
        <w:t>减排的温室气体包括二氧化碳（CO</w:t>
      </w:r>
      <w:r>
        <w:rPr>
          <w:rFonts w:hint="eastAsia" w:ascii="仿宋_GB2312" w:hAnsi="仿宋_GB2312" w:eastAsia="仿宋_GB2312" w:cs="仿宋_GB2312"/>
          <w:sz w:val="32"/>
          <w:szCs w:val="32"/>
          <w:vertAlign w:val="subscript"/>
          <w:lang w:eastAsia="zh-Hans"/>
        </w:rPr>
        <w:t>2</w:t>
      </w:r>
      <w:r>
        <w:rPr>
          <w:rFonts w:hint="eastAsia" w:ascii="仿宋_GB2312" w:hAnsi="仿宋_GB2312" w:eastAsia="仿宋_GB2312" w:cs="仿宋_GB2312"/>
          <w:sz w:val="32"/>
          <w:szCs w:val="32"/>
          <w:lang w:eastAsia="zh-Hans"/>
        </w:rPr>
        <w:t>）、甲烷（CH</w:t>
      </w:r>
      <w:r>
        <w:rPr>
          <w:rFonts w:hint="eastAsia" w:ascii="仿宋_GB2312" w:hAnsi="仿宋_GB2312" w:eastAsia="仿宋_GB2312" w:cs="仿宋_GB2312"/>
          <w:sz w:val="32"/>
          <w:szCs w:val="32"/>
          <w:vertAlign w:val="subscript"/>
          <w:lang w:eastAsia="zh-Hans"/>
        </w:rPr>
        <w:t>4</w:t>
      </w:r>
      <w:r>
        <w:rPr>
          <w:rFonts w:hint="eastAsia" w:ascii="仿宋_GB2312" w:hAnsi="仿宋_GB2312" w:eastAsia="仿宋_GB2312" w:cs="仿宋_GB2312"/>
          <w:sz w:val="32"/>
          <w:szCs w:val="32"/>
          <w:lang w:eastAsia="zh-Hans"/>
        </w:rPr>
        <w:t>）、氧化亚氮（N</w:t>
      </w:r>
      <w:r>
        <w:rPr>
          <w:rFonts w:hint="eastAsia" w:ascii="仿宋_GB2312" w:hAnsi="仿宋_GB2312" w:eastAsia="仿宋_GB2312" w:cs="仿宋_GB2312"/>
          <w:sz w:val="32"/>
          <w:szCs w:val="32"/>
          <w:vertAlign w:val="subscript"/>
          <w:lang w:eastAsia="zh-Hans"/>
        </w:rPr>
        <w:t>2</w:t>
      </w:r>
      <w:r>
        <w:rPr>
          <w:rFonts w:hint="eastAsia" w:ascii="仿宋_GB2312" w:hAnsi="仿宋_GB2312" w:eastAsia="仿宋_GB2312" w:cs="仿宋_GB2312"/>
          <w:sz w:val="32"/>
          <w:szCs w:val="32"/>
          <w:lang w:eastAsia="zh-Hans"/>
        </w:rPr>
        <w:t>O）、氢氟碳化物（HFC</w:t>
      </w:r>
      <w:r>
        <w:rPr>
          <w:rFonts w:hint="eastAsia" w:ascii="仿宋_GB2312" w:hAnsi="仿宋_GB2312" w:eastAsia="仿宋_GB2312" w:cs="仿宋_GB2312"/>
          <w:sz w:val="32"/>
          <w:szCs w:val="32"/>
          <w:vertAlign w:val="baseline"/>
          <w:lang w:eastAsia="zh-Hans"/>
        </w:rPr>
        <w:t>s</w:t>
      </w:r>
      <w:r>
        <w:rPr>
          <w:rFonts w:hint="eastAsia" w:ascii="仿宋_GB2312" w:hAnsi="仿宋_GB2312" w:eastAsia="仿宋_GB2312" w:cs="仿宋_GB2312"/>
          <w:sz w:val="32"/>
          <w:szCs w:val="32"/>
          <w:lang w:eastAsia="zh-Hans"/>
        </w:rPr>
        <w:t>）、全氟化碳（PFCs）、六氟化硫（SF</w:t>
      </w:r>
      <w:r>
        <w:rPr>
          <w:rFonts w:hint="eastAsia" w:ascii="仿宋_GB2312" w:hAnsi="仿宋_GB2312" w:eastAsia="仿宋_GB2312" w:cs="仿宋_GB2312"/>
          <w:sz w:val="32"/>
          <w:szCs w:val="32"/>
          <w:vertAlign w:val="subscript"/>
          <w:lang w:eastAsia="zh-Hans"/>
        </w:rPr>
        <w:t>6</w:t>
      </w:r>
      <w:r>
        <w:rPr>
          <w:rFonts w:hint="eastAsia" w:ascii="仿宋_GB2312" w:hAnsi="仿宋_GB2312" w:eastAsia="仿宋_GB2312" w:cs="仿宋_GB2312"/>
          <w:sz w:val="32"/>
          <w:szCs w:val="32"/>
          <w:lang w:eastAsia="zh-Hans"/>
        </w:rPr>
        <w:t>）和三氟化氮（NF</w:t>
      </w:r>
      <w:r>
        <w:rPr>
          <w:rFonts w:hint="eastAsia" w:ascii="仿宋_GB2312" w:hAnsi="仿宋_GB2312" w:eastAsia="仿宋_GB2312" w:cs="仿宋_GB2312"/>
          <w:sz w:val="32"/>
          <w:szCs w:val="32"/>
          <w:vertAlign w:val="subscript"/>
          <w:lang w:eastAsia="zh-Hans"/>
        </w:rPr>
        <w:t>3</w:t>
      </w:r>
      <w:r>
        <w:rPr>
          <w:rFonts w:hint="eastAsia" w:ascii="仿宋_GB2312" w:hAnsi="仿宋_GB2312" w:eastAsia="仿宋_GB2312" w:cs="仿宋_GB2312"/>
          <w:sz w:val="32"/>
          <w:szCs w:val="32"/>
          <w:lang w:eastAsia="zh-Hans"/>
        </w:rPr>
        <w:t>）等7种气体。</w:t>
      </w:r>
    </w:p>
    <w:p>
      <w:pPr>
        <w:keepNext w:val="0"/>
        <w:keepLines w:val="0"/>
        <w:pageBreakBefore w:val="0"/>
        <w:numPr>
          <w:ilvl w:val="0"/>
          <w:numId w:val="1"/>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bCs w:val="0"/>
          <w:sz w:val="32"/>
          <w:szCs w:val="32"/>
          <w:lang w:val="en-US" w:eastAsia="zh-CN"/>
        </w:rPr>
      </w:pPr>
      <w:bookmarkStart w:id="5" w:name="_Toc29187"/>
      <w:r>
        <w:rPr>
          <w:rFonts w:hint="eastAsia" w:ascii="仿宋_GB2312" w:hAnsi="仿宋_GB2312" w:eastAsia="仿宋_GB2312" w:cs="仿宋_GB2312"/>
          <w:b w:val="0"/>
          <w:bCs w:val="0"/>
          <w:sz w:val="32"/>
          <w:szCs w:val="32"/>
          <w:lang w:val="en-US" w:eastAsia="zh-CN"/>
        </w:rPr>
        <w:t>减排行为方法学申报说明</w:t>
      </w:r>
      <w:bookmarkEnd w:id="5"/>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减排行为方法学依据编制大纲与申报流程进行编制与申报，市生态环境局可自行或委托碳普惠管理机构组织专家委员会进行审核，通过审核的方法学报省生态环境厅备案。</w:t>
      </w:r>
    </w:p>
    <w:p>
      <w:pPr>
        <w:keepNext w:val="0"/>
        <w:keepLines w:val="0"/>
        <w:pageBreakBefore w:val="0"/>
        <w:kinsoku/>
        <w:wordWrap/>
        <w:overflowPunct/>
        <w:topLinePunct w:val="0"/>
        <w:autoSpaceDE/>
        <w:autoSpaceDN/>
        <w:bidi w:val="0"/>
        <w:spacing w:line="560" w:lineRule="exact"/>
        <w:ind w:firstLine="640" w:firstLineChars="200"/>
        <w:textAlignment w:val="auto"/>
        <w:outlineLvl w:val="1"/>
        <w:rPr>
          <w:rFonts w:hint="eastAsia" w:ascii="楷体_GB2312" w:hAnsi="楷体_GB2312" w:eastAsia="楷体_GB2312" w:cs="楷体_GB2312"/>
          <w:b w:val="0"/>
          <w:bCs w:val="0"/>
          <w:kern w:val="0"/>
          <w:sz w:val="32"/>
          <w:szCs w:val="32"/>
          <w:lang w:eastAsia="zh-CN"/>
        </w:rPr>
      </w:pPr>
      <w:bookmarkStart w:id="6" w:name="_Toc8376"/>
      <w:r>
        <w:rPr>
          <w:rFonts w:hint="eastAsia" w:ascii="楷体_GB2312" w:hAnsi="楷体_GB2312" w:eastAsia="楷体_GB2312" w:cs="楷体_GB2312"/>
          <w:b w:val="0"/>
          <w:bCs w:val="0"/>
          <w:kern w:val="0"/>
          <w:sz w:val="32"/>
          <w:szCs w:val="32"/>
          <w:lang w:eastAsia="zh-CN"/>
        </w:rPr>
        <w:t>（</w:t>
      </w:r>
      <w:r>
        <w:rPr>
          <w:rFonts w:hint="eastAsia" w:ascii="楷体_GB2312" w:hAnsi="楷体_GB2312" w:eastAsia="楷体_GB2312" w:cs="楷体_GB2312"/>
          <w:b w:val="0"/>
          <w:bCs w:val="0"/>
          <w:kern w:val="0"/>
          <w:sz w:val="32"/>
          <w:szCs w:val="32"/>
          <w:lang w:val="en-US" w:eastAsia="zh-CN"/>
        </w:rPr>
        <w:t>二</w:t>
      </w:r>
      <w:r>
        <w:rPr>
          <w:rFonts w:hint="eastAsia" w:ascii="楷体_GB2312" w:hAnsi="楷体_GB2312" w:eastAsia="楷体_GB2312" w:cs="楷体_GB2312"/>
          <w:b w:val="0"/>
          <w:bCs w:val="0"/>
          <w:kern w:val="0"/>
          <w:sz w:val="32"/>
          <w:szCs w:val="32"/>
          <w:lang w:eastAsia="zh-CN"/>
        </w:rPr>
        <w:t>）编制内容</w:t>
      </w:r>
      <w:bookmarkEnd w:id="6"/>
    </w:p>
    <w:p>
      <w:pPr>
        <w:keepNext w:val="0"/>
        <w:keepLines w:val="0"/>
        <w:pageBreakBefore w:val="0"/>
        <w:numPr>
          <w:ilvl w:val="0"/>
          <w:numId w:val="2"/>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bCs w:val="0"/>
          <w:sz w:val="32"/>
          <w:szCs w:val="32"/>
          <w:lang w:eastAsia="zh-Hans"/>
        </w:rPr>
      </w:pPr>
      <w:bookmarkStart w:id="7" w:name="_Toc16589"/>
      <w:r>
        <w:rPr>
          <w:rFonts w:hint="eastAsia" w:ascii="仿宋_GB2312" w:hAnsi="仿宋_GB2312" w:eastAsia="仿宋_GB2312" w:cs="仿宋_GB2312"/>
          <w:b w:val="0"/>
          <w:bCs w:val="0"/>
          <w:sz w:val="32"/>
          <w:szCs w:val="32"/>
          <w:lang w:eastAsia="zh-Hans"/>
        </w:rPr>
        <w:t>方法学名称</w:t>
      </w:r>
      <w:bookmarkEnd w:id="7"/>
    </w:p>
    <w:p>
      <w:pPr>
        <w:keepNext w:val="0"/>
        <w:keepLines w:val="0"/>
        <w:pageBreakBefore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方法学名称应准确、简明。</w:t>
      </w:r>
    </w:p>
    <w:p>
      <w:pPr>
        <w:keepNext w:val="0"/>
        <w:keepLines w:val="0"/>
        <w:pageBreakBefore w:val="0"/>
        <w:numPr>
          <w:ilvl w:val="0"/>
          <w:numId w:val="2"/>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sz w:val="32"/>
          <w:szCs w:val="32"/>
          <w:lang w:eastAsia="zh-Hans"/>
        </w:rPr>
      </w:pPr>
      <w:bookmarkStart w:id="8" w:name="_Toc25955"/>
      <w:r>
        <w:rPr>
          <w:rFonts w:hint="eastAsia" w:ascii="仿宋_GB2312" w:hAnsi="仿宋_GB2312" w:eastAsia="仿宋_GB2312" w:cs="仿宋_GB2312"/>
          <w:b w:val="0"/>
          <w:sz w:val="32"/>
          <w:szCs w:val="32"/>
          <w:lang w:eastAsia="zh-Hans"/>
        </w:rPr>
        <w:t>引言</w:t>
      </w:r>
      <w:bookmarkEnd w:id="8"/>
    </w:p>
    <w:p>
      <w:pPr>
        <w:keepNext w:val="0"/>
        <w:keepLines w:val="0"/>
        <w:pageBreakBefore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应说明方法学编制目的、编制单位。简要描述方法学的关键要素，包括适用范围、基准线情景、额外性论证方式等。</w:t>
      </w:r>
    </w:p>
    <w:p>
      <w:pPr>
        <w:keepNext w:val="0"/>
        <w:keepLines w:val="0"/>
        <w:pageBreakBefore w:val="0"/>
        <w:numPr>
          <w:ilvl w:val="0"/>
          <w:numId w:val="2"/>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sz w:val="32"/>
          <w:szCs w:val="32"/>
          <w:lang w:eastAsia="zh-Hans"/>
        </w:rPr>
      </w:pPr>
      <w:bookmarkStart w:id="9" w:name="_Toc3281"/>
      <w:r>
        <w:rPr>
          <w:rFonts w:hint="eastAsia" w:ascii="仿宋_GB2312" w:hAnsi="仿宋_GB2312" w:eastAsia="仿宋_GB2312" w:cs="仿宋_GB2312"/>
          <w:b w:val="0"/>
          <w:bCs w:val="0"/>
          <w:sz w:val="32"/>
          <w:szCs w:val="32"/>
          <w:lang w:eastAsia="zh-Hans"/>
        </w:rPr>
        <w:t>适用</w:t>
      </w:r>
      <w:r>
        <w:rPr>
          <w:rFonts w:hint="eastAsia" w:ascii="仿宋_GB2312" w:hAnsi="仿宋_GB2312" w:eastAsia="仿宋_GB2312" w:cs="仿宋_GB2312"/>
          <w:b w:val="0"/>
          <w:sz w:val="32"/>
          <w:szCs w:val="32"/>
          <w:lang w:eastAsia="zh-Hans"/>
        </w:rPr>
        <w:t>条件</w:t>
      </w:r>
      <w:bookmarkEnd w:id="9"/>
    </w:p>
    <w:p>
      <w:pPr>
        <w:keepNext w:val="0"/>
        <w:keepLines w:val="0"/>
        <w:pageBreakBefore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Hans"/>
        </w:rPr>
        <w:t>应说明方法</w:t>
      </w:r>
      <w:r>
        <w:rPr>
          <w:rFonts w:hint="eastAsia" w:ascii="仿宋_GB2312" w:hAnsi="仿宋_GB2312" w:eastAsia="仿宋_GB2312" w:cs="仿宋_GB2312"/>
          <w:sz w:val="32"/>
          <w:szCs w:val="32"/>
        </w:rPr>
        <w:t>学适用</w:t>
      </w:r>
      <w:r>
        <w:rPr>
          <w:rFonts w:hint="eastAsia" w:ascii="仿宋_GB2312" w:hAnsi="仿宋_GB2312" w:eastAsia="仿宋_GB2312" w:cs="仿宋_GB2312"/>
          <w:sz w:val="32"/>
          <w:szCs w:val="32"/>
          <w:lang w:eastAsia="zh-Hans"/>
        </w:rPr>
        <w:t>的具体</w:t>
      </w:r>
      <w:r>
        <w:rPr>
          <w:rFonts w:hint="eastAsia" w:ascii="仿宋_GB2312" w:hAnsi="仿宋_GB2312" w:eastAsia="仿宋_GB2312" w:cs="仿宋_GB2312"/>
          <w:sz w:val="32"/>
          <w:szCs w:val="32"/>
          <w:lang w:eastAsia="zh-CN"/>
        </w:rPr>
        <w:t>减排行为</w:t>
      </w:r>
      <w:r>
        <w:rPr>
          <w:rFonts w:hint="eastAsia" w:ascii="仿宋_GB2312" w:hAnsi="仿宋_GB2312" w:eastAsia="仿宋_GB2312" w:cs="仿宋_GB2312"/>
          <w:sz w:val="32"/>
          <w:szCs w:val="32"/>
          <w:lang w:eastAsia="zh-Hans"/>
        </w:rPr>
        <w:t>条件，</w:t>
      </w:r>
      <w:r>
        <w:rPr>
          <w:rFonts w:hint="eastAsia" w:ascii="仿宋_GB2312" w:hAnsi="仿宋_GB2312" w:eastAsia="仿宋_GB2312" w:cs="仿宋_GB2312"/>
          <w:sz w:val="32"/>
          <w:szCs w:val="32"/>
        </w:rPr>
        <w:t>包括但不限于</w:t>
      </w:r>
      <w:r>
        <w:rPr>
          <w:rFonts w:hint="eastAsia" w:ascii="仿宋_GB2312" w:hAnsi="仿宋_GB2312" w:eastAsia="仿宋_GB2312" w:cs="仿宋_GB2312"/>
          <w:sz w:val="32"/>
          <w:szCs w:val="32"/>
          <w:lang w:eastAsia="zh-CN"/>
        </w:rPr>
        <w:t>减排行为</w:t>
      </w:r>
      <w:r>
        <w:rPr>
          <w:rFonts w:hint="eastAsia" w:ascii="仿宋_GB2312" w:hAnsi="仿宋_GB2312" w:eastAsia="仿宋_GB2312" w:cs="仿宋_GB2312"/>
          <w:sz w:val="32"/>
          <w:szCs w:val="32"/>
        </w:rPr>
        <w:t>的地理范围、所需技术条件、项目计入期及其他注意事项。如有方法学不适用的特定情况或情景应具体说明。</w:t>
      </w:r>
    </w:p>
    <w:p>
      <w:pPr>
        <w:keepNext w:val="0"/>
        <w:keepLines w:val="0"/>
        <w:pageBreakBefore w:val="0"/>
        <w:numPr>
          <w:ilvl w:val="0"/>
          <w:numId w:val="2"/>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sz w:val="32"/>
          <w:szCs w:val="32"/>
        </w:rPr>
      </w:pPr>
      <w:bookmarkStart w:id="10" w:name="_Toc11238"/>
      <w:r>
        <w:rPr>
          <w:rFonts w:hint="eastAsia" w:ascii="仿宋_GB2312" w:hAnsi="仿宋_GB2312" w:eastAsia="仿宋_GB2312" w:cs="仿宋_GB2312"/>
          <w:b w:val="0"/>
          <w:sz w:val="32"/>
          <w:szCs w:val="32"/>
        </w:rPr>
        <w:t>引用文件</w:t>
      </w:r>
      <w:bookmarkEnd w:id="10"/>
    </w:p>
    <w:p>
      <w:pPr>
        <w:keepNext w:val="0"/>
        <w:keepLines w:val="0"/>
        <w:pageBreakBefore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Hans"/>
        </w:rPr>
        <w:t>应列出</w:t>
      </w:r>
      <w:r>
        <w:rPr>
          <w:rFonts w:hint="eastAsia" w:ascii="仿宋_GB2312" w:hAnsi="仿宋_GB2312" w:eastAsia="仿宋_GB2312" w:cs="仿宋_GB2312"/>
          <w:sz w:val="32"/>
          <w:szCs w:val="32"/>
        </w:rPr>
        <w:t>方法学</w:t>
      </w:r>
      <w:r>
        <w:rPr>
          <w:rFonts w:hint="eastAsia" w:ascii="仿宋_GB2312" w:hAnsi="仿宋_GB2312" w:eastAsia="仿宋_GB2312" w:cs="仿宋_GB2312"/>
          <w:sz w:val="32"/>
          <w:szCs w:val="32"/>
          <w:lang w:eastAsia="zh-Hans"/>
        </w:rPr>
        <w:t>在使用过程中需要配套引用或使用</w:t>
      </w:r>
      <w:r>
        <w:rPr>
          <w:rFonts w:hint="eastAsia" w:ascii="仿宋_GB2312" w:hAnsi="仿宋_GB2312" w:eastAsia="仿宋_GB2312" w:cs="仿宋_GB2312"/>
          <w:sz w:val="32"/>
          <w:szCs w:val="32"/>
        </w:rPr>
        <w:t>的相关标准、指南、方法学及方法学工具、</w:t>
      </w:r>
      <w:r>
        <w:rPr>
          <w:rFonts w:hint="eastAsia" w:ascii="仿宋_GB2312" w:hAnsi="仿宋_GB2312" w:eastAsia="仿宋_GB2312" w:cs="仿宋_GB2312"/>
          <w:sz w:val="32"/>
          <w:szCs w:val="32"/>
          <w:lang w:eastAsia="zh-Hans"/>
        </w:rPr>
        <w:t>技术规范</w:t>
      </w:r>
      <w:r>
        <w:rPr>
          <w:rFonts w:hint="eastAsia" w:ascii="仿宋_GB2312" w:hAnsi="仿宋_GB2312" w:eastAsia="仿宋_GB2312" w:cs="仿宋_GB2312"/>
          <w:sz w:val="32"/>
          <w:szCs w:val="32"/>
        </w:rPr>
        <w:t>等</w:t>
      </w:r>
      <w:r>
        <w:rPr>
          <w:rFonts w:hint="eastAsia" w:ascii="仿宋_GB2312" w:hAnsi="仿宋_GB2312" w:eastAsia="仿宋_GB2312" w:cs="仿宋_GB2312"/>
          <w:sz w:val="32"/>
          <w:szCs w:val="32"/>
          <w:lang w:eastAsia="zh-Hans"/>
        </w:rPr>
        <w:t>参考文件</w:t>
      </w:r>
      <w:r>
        <w:rPr>
          <w:rFonts w:hint="eastAsia" w:ascii="仿宋_GB2312" w:hAnsi="仿宋_GB2312" w:eastAsia="仿宋_GB2312" w:cs="仿宋_GB2312"/>
          <w:sz w:val="32"/>
          <w:szCs w:val="32"/>
        </w:rPr>
        <w:t>，明确</w:t>
      </w:r>
      <w:r>
        <w:rPr>
          <w:rFonts w:hint="eastAsia" w:ascii="仿宋_GB2312" w:hAnsi="仿宋_GB2312" w:eastAsia="仿宋_GB2312" w:cs="仿宋_GB2312"/>
          <w:sz w:val="32"/>
          <w:szCs w:val="32"/>
          <w:lang w:eastAsia="zh-Hans"/>
        </w:rPr>
        <w:t>引用</w:t>
      </w:r>
      <w:r>
        <w:rPr>
          <w:rFonts w:hint="eastAsia" w:ascii="仿宋_GB2312" w:hAnsi="仿宋_GB2312" w:eastAsia="仿宋_GB2312" w:cs="仿宋_GB2312"/>
          <w:sz w:val="32"/>
          <w:szCs w:val="32"/>
        </w:rPr>
        <w:t>文件的名称、发布机构、版本号、备案号等信息。</w:t>
      </w:r>
    </w:p>
    <w:p>
      <w:pPr>
        <w:keepNext w:val="0"/>
        <w:keepLines w:val="0"/>
        <w:pageBreakBefore w:val="0"/>
        <w:numPr>
          <w:ilvl w:val="0"/>
          <w:numId w:val="2"/>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sz w:val="32"/>
          <w:szCs w:val="32"/>
        </w:rPr>
      </w:pPr>
      <w:bookmarkStart w:id="11" w:name="_Toc20411"/>
      <w:r>
        <w:rPr>
          <w:rFonts w:hint="eastAsia" w:ascii="仿宋_GB2312" w:hAnsi="仿宋_GB2312" w:eastAsia="仿宋_GB2312" w:cs="仿宋_GB2312"/>
          <w:b w:val="0"/>
          <w:sz w:val="32"/>
          <w:szCs w:val="32"/>
        </w:rPr>
        <w:t>术语和定义</w:t>
      </w:r>
      <w:bookmarkEnd w:id="11"/>
    </w:p>
    <w:p>
      <w:pPr>
        <w:keepNext w:val="0"/>
        <w:keepLines w:val="0"/>
        <w:pageBreakBefore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方法学中的关键术语和定义应备注释义说明，确保方法学</w:t>
      </w:r>
      <w:r>
        <w:rPr>
          <w:rFonts w:hint="eastAsia" w:ascii="仿宋_GB2312" w:hAnsi="仿宋_GB2312" w:eastAsia="仿宋_GB2312" w:cs="仿宋_GB2312"/>
          <w:sz w:val="32"/>
          <w:szCs w:val="32"/>
          <w:lang w:eastAsia="zh-Hans"/>
        </w:rPr>
        <w:t>在</w:t>
      </w:r>
      <w:r>
        <w:rPr>
          <w:rFonts w:hint="eastAsia" w:ascii="仿宋_GB2312" w:hAnsi="仿宋_GB2312" w:eastAsia="仿宋_GB2312" w:cs="仿宋_GB2312"/>
          <w:sz w:val="32"/>
          <w:szCs w:val="32"/>
        </w:rPr>
        <w:t>使用过程中不产生误解和歧义。术语和定义有相关出处的，应注明出处。</w:t>
      </w:r>
    </w:p>
    <w:p>
      <w:pPr>
        <w:keepNext w:val="0"/>
        <w:keepLines w:val="0"/>
        <w:pageBreakBefore w:val="0"/>
        <w:numPr>
          <w:ilvl w:val="0"/>
          <w:numId w:val="2"/>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sz w:val="32"/>
          <w:szCs w:val="32"/>
          <w:lang w:eastAsia="zh-Hans"/>
        </w:rPr>
      </w:pPr>
      <w:bookmarkStart w:id="12" w:name="_Toc23919"/>
      <w:r>
        <w:rPr>
          <w:rFonts w:hint="eastAsia" w:ascii="仿宋_GB2312" w:hAnsi="仿宋_GB2312" w:eastAsia="仿宋_GB2312" w:cs="仿宋_GB2312"/>
          <w:b w:val="0"/>
          <w:sz w:val="32"/>
          <w:szCs w:val="32"/>
          <w:lang w:eastAsia="zh-CN"/>
        </w:rPr>
        <w:t>减排行为</w:t>
      </w:r>
      <w:r>
        <w:rPr>
          <w:rFonts w:hint="eastAsia" w:ascii="仿宋_GB2312" w:hAnsi="仿宋_GB2312" w:eastAsia="仿宋_GB2312" w:cs="仿宋_GB2312"/>
          <w:b w:val="0"/>
          <w:sz w:val="32"/>
          <w:szCs w:val="32"/>
        </w:rPr>
        <w:t>边界</w:t>
      </w:r>
      <w:r>
        <w:rPr>
          <w:rFonts w:hint="eastAsia" w:ascii="仿宋_GB2312" w:hAnsi="仿宋_GB2312" w:eastAsia="仿宋_GB2312" w:cs="仿宋_GB2312"/>
          <w:b w:val="0"/>
          <w:sz w:val="32"/>
          <w:szCs w:val="32"/>
          <w:lang w:eastAsia="zh-Hans"/>
        </w:rPr>
        <w:t>及排放源</w:t>
      </w:r>
      <w:bookmarkEnd w:id="12"/>
    </w:p>
    <w:p>
      <w:pPr>
        <w:keepNext w:val="0"/>
        <w:keepLines w:val="0"/>
        <w:pageBreakBefore w:val="0"/>
        <w:kinsoku/>
        <w:wordWrap/>
        <w:overflowPunct/>
        <w:topLinePunct w:val="0"/>
        <w:autoSpaceDE/>
        <w:autoSpaceDN/>
        <w:bidi w:val="0"/>
        <w:spacing w:line="560" w:lineRule="exact"/>
        <w:ind w:firstLine="664"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pacing w:val="6"/>
          <w:sz w:val="32"/>
          <w:szCs w:val="32"/>
          <w:lang w:eastAsia="zh-Hans"/>
        </w:rPr>
        <w:t>应</w:t>
      </w:r>
      <w:r>
        <w:rPr>
          <w:rFonts w:hint="eastAsia" w:ascii="仿宋_GB2312" w:hAnsi="仿宋_GB2312" w:eastAsia="仿宋_GB2312" w:cs="仿宋_GB2312"/>
          <w:sz w:val="32"/>
          <w:szCs w:val="32"/>
        </w:rPr>
        <w:t>准确</w:t>
      </w:r>
      <w:r>
        <w:rPr>
          <w:rFonts w:hint="eastAsia" w:ascii="仿宋_GB2312" w:hAnsi="仿宋_GB2312" w:eastAsia="仿宋_GB2312" w:cs="仿宋_GB2312"/>
          <w:spacing w:val="6"/>
          <w:sz w:val="32"/>
          <w:szCs w:val="32"/>
        </w:rPr>
        <w:t>描述</w:t>
      </w:r>
      <w:r>
        <w:rPr>
          <w:rFonts w:hint="eastAsia" w:ascii="仿宋_GB2312" w:hAnsi="仿宋_GB2312" w:eastAsia="仿宋_GB2312" w:cs="仿宋_GB2312"/>
          <w:spacing w:val="6"/>
          <w:sz w:val="32"/>
          <w:szCs w:val="32"/>
          <w:lang w:eastAsia="zh-CN"/>
        </w:rPr>
        <w:t>减排行为</w:t>
      </w:r>
      <w:r>
        <w:rPr>
          <w:rFonts w:hint="eastAsia" w:ascii="仿宋_GB2312" w:hAnsi="仿宋_GB2312" w:eastAsia="仿宋_GB2312" w:cs="仿宋_GB2312"/>
          <w:sz w:val="32"/>
          <w:szCs w:val="32"/>
        </w:rPr>
        <w:t>边界的空间范围，以及</w:t>
      </w:r>
      <w:r>
        <w:rPr>
          <w:rFonts w:hint="eastAsia" w:ascii="仿宋_GB2312" w:hAnsi="仿宋_GB2312" w:eastAsia="仿宋_GB2312" w:cs="仿宋_GB2312"/>
          <w:sz w:val="32"/>
          <w:szCs w:val="32"/>
          <w:lang w:eastAsia="zh-CN"/>
        </w:rPr>
        <w:t>减排行为</w:t>
      </w:r>
      <w:r>
        <w:rPr>
          <w:rFonts w:hint="eastAsia" w:ascii="仿宋_GB2312" w:hAnsi="仿宋_GB2312" w:eastAsia="仿宋_GB2312" w:cs="仿宋_GB2312"/>
          <w:sz w:val="32"/>
          <w:szCs w:val="32"/>
        </w:rPr>
        <w:t>边界内所包含的温室气体排放源和温室气体种类。</w:t>
      </w:r>
    </w:p>
    <w:p>
      <w:pPr>
        <w:keepNext w:val="0"/>
        <w:keepLines w:val="0"/>
        <w:pageBreakBefore w:val="0"/>
        <w:numPr>
          <w:ilvl w:val="0"/>
          <w:numId w:val="2"/>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sz w:val="32"/>
          <w:szCs w:val="32"/>
          <w:lang w:eastAsia="zh-Hans"/>
        </w:rPr>
      </w:pPr>
      <w:bookmarkStart w:id="13" w:name="_Toc4970"/>
      <w:r>
        <w:rPr>
          <w:rFonts w:hint="eastAsia" w:ascii="仿宋_GB2312" w:hAnsi="仿宋_GB2312" w:eastAsia="仿宋_GB2312" w:cs="仿宋_GB2312"/>
          <w:b w:val="0"/>
          <w:bCs w:val="0"/>
          <w:sz w:val="32"/>
          <w:szCs w:val="32"/>
          <w:lang w:eastAsia="zh-Hans"/>
        </w:rPr>
        <w:t>基准线</w:t>
      </w:r>
      <w:r>
        <w:rPr>
          <w:rFonts w:hint="eastAsia" w:ascii="仿宋_GB2312" w:hAnsi="仿宋_GB2312" w:eastAsia="仿宋_GB2312" w:cs="仿宋_GB2312"/>
          <w:b w:val="0"/>
          <w:sz w:val="32"/>
          <w:szCs w:val="32"/>
        </w:rPr>
        <w:t>情景</w:t>
      </w:r>
      <w:r>
        <w:rPr>
          <w:rFonts w:hint="eastAsia" w:ascii="仿宋_GB2312" w:hAnsi="仿宋_GB2312" w:eastAsia="仿宋_GB2312" w:cs="仿宋_GB2312"/>
          <w:b w:val="0"/>
          <w:sz w:val="32"/>
          <w:szCs w:val="32"/>
          <w:lang w:eastAsia="zh-Hans"/>
        </w:rPr>
        <w:t>识别</w:t>
      </w:r>
      <w:bookmarkEnd w:id="13"/>
    </w:p>
    <w:p>
      <w:pPr>
        <w:keepNext w:val="0"/>
        <w:keepLines w:val="0"/>
        <w:pageBreakBefore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Hans"/>
        </w:rPr>
        <w:t>应详细</w:t>
      </w:r>
      <w:r>
        <w:rPr>
          <w:rFonts w:hint="eastAsia" w:ascii="仿宋_GB2312" w:hAnsi="仿宋_GB2312" w:eastAsia="仿宋_GB2312" w:cs="仿宋_GB2312"/>
          <w:sz w:val="32"/>
          <w:szCs w:val="32"/>
        </w:rPr>
        <w:t>说明识别、</w:t>
      </w:r>
      <w:r>
        <w:rPr>
          <w:rFonts w:hint="eastAsia" w:ascii="仿宋_GB2312" w:hAnsi="仿宋_GB2312" w:eastAsia="仿宋_GB2312" w:cs="仿宋_GB2312"/>
          <w:sz w:val="32"/>
          <w:szCs w:val="32"/>
          <w:lang w:eastAsia="zh-Hans"/>
        </w:rPr>
        <w:t>确定</w:t>
      </w:r>
      <w:r>
        <w:rPr>
          <w:rFonts w:hint="eastAsia" w:ascii="仿宋_GB2312" w:hAnsi="仿宋_GB2312" w:eastAsia="仿宋_GB2312" w:cs="仿宋_GB2312"/>
          <w:sz w:val="32"/>
          <w:szCs w:val="32"/>
        </w:rPr>
        <w:t>基准线情景的</w:t>
      </w:r>
      <w:r>
        <w:rPr>
          <w:rFonts w:hint="eastAsia" w:ascii="仿宋_GB2312" w:hAnsi="仿宋_GB2312" w:eastAsia="仿宋_GB2312" w:cs="仿宋_GB2312"/>
          <w:sz w:val="32"/>
          <w:szCs w:val="32"/>
          <w:lang w:eastAsia="zh-Hans"/>
        </w:rPr>
        <w:t>程序和</w:t>
      </w:r>
      <w:r>
        <w:rPr>
          <w:rFonts w:hint="eastAsia" w:ascii="仿宋_GB2312" w:hAnsi="仿宋_GB2312" w:eastAsia="仿宋_GB2312" w:cs="仿宋_GB2312"/>
          <w:sz w:val="32"/>
          <w:szCs w:val="32"/>
        </w:rPr>
        <w:t>方法，</w:t>
      </w:r>
      <w:r>
        <w:rPr>
          <w:rFonts w:hint="eastAsia" w:ascii="仿宋_GB2312" w:hAnsi="仿宋_GB2312" w:eastAsia="仿宋_GB2312" w:cs="仿宋_GB2312"/>
          <w:sz w:val="32"/>
          <w:szCs w:val="32"/>
          <w:lang w:eastAsia="zh-Hans"/>
        </w:rPr>
        <w:t>或直接描述特定基准线情景。基准线情景指</w:t>
      </w:r>
      <w:r>
        <w:rPr>
          <w:rFonts w:hint="eastAsia" w:ascii="仿宋_GB2312" w:hAnsi="仿宋_GB2312" w:eastAsia="仿宋_GB2312" w:cs="仿宋_GB2312"/>
          <w:sz w:val="32"/>
          <w:szCs w:val="32"/>
        </w:rPr>
        <w:t>在不实施</w:t>
      </w:r>
      <w:r>
        <w:rPr>
          <w:rFonts w:hint="eastAsia" w:ascii="仿宋_GB2312" w:hAnsi="仿宋_GB2312" w:eastAsia="仿宋_GB2312" w:cs="仿宋_GB2312"/>
          <w:sz w:val="32"/>
          <w:szCs w:val="32"/>
          <w:lang w:eastAsia="zh-CN"/>
        </w:rPr>
        <w:t>减排行为</w:t>
      </w:r>
      <w:r>
        <w:rPr>
          <w:rFonts w:hint="eastAsia" w:ascii="仿宋_GB2312" w:hAnsi="仿宋_GB2312" w:eastAsia="仿宋_GB2312" w:cs="仿宋_GB2312"/>
          <w:sz w:val="32"/>
          <w:szCs w:val="32"/>
        </w:rPr>
        <w:t>的情</w:t>
      </w:r>
      <w:r>
        <w:rPr>
          <w:rFonts w:hint="eastAsia" w:ascii="仿宋_GB2312" w:hAnsi="仿宋_GB2312" w:eastAsia="仿宋_GB2312" w:cs="仿宋_GB2312"/>
          <w:sz w:val="32"/>
          <w:szCs w:val="32"/>
          <w:lang w:eastAsia="zh-Hans"/>
        </w:rPr>
        <w:t>况</w:t>
      </w:r>
      <w:r>
        <w:rPr>
          <w:rFonts w:hint="eastAsia" w:ascii="仿宋_GB2312" w:hAnsi="仿宋_GB2312" w:eastAsia="仿宋_GB2312" w:cs="仿宋_GB2312"/>
          <w:sz w:val="32"/>
          <w:szCs w:val="32"/>
        </w:rPr>
        <w:t>下，</w:t>
      </w:r>
      <w:r>
        <w:rPr>
          <w:rFonts w:hint="eastAsia" w:ascii="仿宋_GB2312" w:hAnsi="仿宋_GB2312" w:eastAsia="仿宋_GB2312" w:cs="仿宋_GB2312"/>
          <w:sz w:val="32"/>
          <w:szCs w:val="32"/>
          <w:lang w:eastAsia="zh-Hans"/>
        </w:rPr>
        <w:t>核算边界内</w:t>
      </w:r>
      <w:r>
        <w:rPr>
          <w:rFonts w:hint="eastAsia" w:ascii="仿宋_GB2312" w:hAnsi="仿宋_GB2312" w:eastAsia="仿宋_GB2312" w:cs="仿宋_GB2312"/>
          <w:sz w:val="32"/>
          <w:szCs w:val="32"/>
        </w:rPr>
        <w:t>可</w:t>
      </w:r>
      <w:r>
        <w:rPr>
          <w:rFonts w:hint="eastAsia" w:ascii="仿宋_GB2312" w:hAnsi="仿宋_GB2312" w:eastAsia="仿宋_GB2312" w:cs="仿宋_GB2312"/>
          <w:sz w:val="32"/>
          <w:szCs w:val="32"/>
          <w:lang w:eastAsia="zh-Hans"/>
        </w:rPr>
        <w:t>提供参照</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eastAsia="zh-Hans"/>
        </w:rPr>
        <w:t>假定</w:t>
      </w:r>
      <w:r>
        <w:rPr>
          <w:rFonts w:hint="eastAsia" w:ascii="仿宋_GB2312" w:hAnsi="仿宋_GB2312" w:eastAsia="仿宋_GB2312" w:cs="仿宋_GB2312"/>
          <w:sz w:val="32"/>
          <w:szCs w:val="32"/>
        </w:rPr>
        <w:t>情景。</w:t>
      </w:r>
    </w:p>
    <w:p>
      <w:pPr>
        <w:keepNext w:val="0"/>
        <w:keepLines w:val="0"/>
        <w:pageBreakBefore w:val="0"/>
        <w:numPr>
          <w:ilvl w:val="0"/>
          <w:numId w:val="2"/>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sz w:val="32"/>
          <w:szCs w:val="32"/>
          <w:lang w:eastAsia="zh-Hans"/>
        </w:rPr>
      </w:pPr>
      <w:bookmarkStart w:id="14" w:name="_Toc13347"/>
      <w:r>
        <w:rPr>
          <w:rFonts w:hint="eastAsia" w:ascii="仿宋_GB2312" w:hAnsi="仿宋_GB2312" w:eastAsia="仿宋_GB2312" w:cs="仿宋_GB2312"/>
          <w:b w:val="0"/>
          <w:bCs w:val="0"/>
          <w:sz w:val="32"/>
          <w:szCs w:val="32"/>
          <w:lang w:eastAsia="zh-Hans"/>
        </w:rPr>
        <w:t>额外</w:t>
      </w:r>
      <w:r>
        <w:rPr>
          <w:rFonts w:hint="eastAsia" w:ascii="仿宋_GB2312" w:hAnsi="仿宋_GB2312" w:eastAsia="仿宋_GB2312" w:cs="仿宋_GB2312"/>
          <w:b w:val="0"/>
          <w:sz w:val="32"/>
          <w:szCs w:val="32"/>
          <w:lang w:eastAsia="zh-Hans"/>
        </w:rPr>
        <w:t>性论证</w:t>
      </w:r>
      <w:bookmarkEnd w:id="14"/>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方法学应说明采用论证额外性或免予论证方式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eastAsia="zh-Hans"/>
        </w:rPr>
        <w:t>若选择免予论证则需详细阐述理由。具有广泛社会效益的个人碳减排行为方法学，可免予额外性论证。</w:t>
      </w:r>
    </w:p>
    <w:p>
      <w:pPr>
        <w:keepNext w:val="0"/>
        <w:keepLines w:val="0"/>
        <w:pageBreakBefore w:val="0"/>
        <w:numPr>
          <w:ilvl w:val="0"/>
          <w:numId w:val="2"/>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sz w:val="32"/>
          <w:szCs w:val="32"/>
          <w:lang w:eastAsia="zh-Hans"/>
        </w:rPr>
      </w:pPr>
      <w:bookmarkStart w:id="15" w:name="_Toc10794"/>
      <w:r>
        <w:rPr>
          <w:rFonts w:hint="eastAsia" w:ascii="仿宋_GB2312" w:hAnsi="仿宋_GB2312" w:eastAsia="仿宋_GB2312" w:cs="仿宋_GB2312"/>
          <w:b w:val="0"/>
          <w:bCs w:val="0"/>
          <w:sz w:val="32"/>
          <w:szCs w:val="32"/>
          <w:lang w:eastAsia="zh-Hans"/>
        </w:rPr>
        <w:t>基准线</w:t>
      </w:r>
      <w:r>
        <w:rPr>
          <w:rFonts w:hint="eastAsia" w:ascii="仿宋_GB2312" w:hAnsi="仿宋_GB2312" w:eastAsia="仿宋_GB2312" w:cs="仿宋_GB2312"/>
          <w:b w:val="0"/>
          <w:sz w:val="32"/>
          <w:szCs w:val="32"/>
          <w:lang w:eastAsia="zh-Hans"/>
        </w:rPr>
        <w:t>排放量</w:t>
      </w:r>
      <w:bookmarkEnd w:id="15"/>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Hans"/>
        </w:rPr>
        <w:t>应详细</w:t>
      </w:r>
      <w:r>
        <w:rPr>
          <w:rFonts w:hint="eastAsia" w:ascii="仿宋_GB2312" w:hAnsi="仿宋_GB2312" w:eastAsia="仿宋_GB2312" w:cs="仿宋_GB2312"/>
          <w:sz w:val="32"/>
          <w:szCs w:val="32"/>
        </w:rPr>
        <w:t>说明在基准线情景下</w:t>
      </w:r>
      <w:r>
        <w:rPr>
          <w:rFonts w:hint="eastAsia" w:ascii="仿宋_GB2312" w:hAnsi="仿宋_GB2312" w:eastAsia="仿宋_GB2312" w:cs="仿宋_GB2312"/>
          <w:sz w:val="32"/>
          <w:szCs w:val="32"/>
          <w:lang w:eastAsia="zh-CN"/>
        </w:rPr>
        <w:t>减排行为</w:t>
      </w:r>
      <w:r>
        <w:rPr>
          <w:rFonts w:hint="eastAsia" w:ascii="仿宋_GB2312" w:hAnsi="仿宋_GB2312" w:eastAsia="仿宋_GB2312" w:cs="仿宋_GB2312"/>
          <w:sz w:val="32"/>
          <w:szCs w:val="32"/>
        </w:rPr>
        <w:t>边界内温室气体排放量的计算方法，</w:t>
      </w:r>
      <w:r>
        <w:rPr>
          <w:rFonts w:hint="eastAsia" w:ascii="仿宋_GB2312" w:hAnsi="仿宋_GB2312" w:eastAsia="仿宋_GB2312" w:cs="仿宋_GB2312"/>
          <w:sz w:val="32"/>
          <w:szCs w:val="32"/>
          <w:lang w:eastAsia="zh-Hans"/>
        </w:rPr>
        <w:t>包括</w:t>
      </w:r>
      <w:r>
        <w:rPr>
          <w:rFonts w:hint="eastAsia" w:ascii="仿宋_GB2312" w:hAnsi="仿宋_GB2312" w:eastAsia="仿宋_GB2312" w:cs="仿宋_GB2312"/>
          <w:sz w:val="32"/>
          <w:szCs w:val="32"/>
        </w:rPr>
        <w:t>计算公式、参数含义和数据来源。</w:t>
      </w:r>
    </w:p>
    <w:p>
      <w:pPr>
        <w:keepNext w:val="0"/>
        <w:keepLines w:val="0"/>
        <w:pageBreakBefore w:val="0"/>
        <w:numPr>
          <w:ilvl w:val="0"/>
          <w:numId w:val="2"/>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sz w:val="32"/>
          <w:szCs w:val="32"/>
          <w:lang w:eastAsia="zh-Hans"/>
        </w:rPr>
      </w:pPr>
      <w:bookmarkStart w:id="16" w:name="_Toc7922"/>
      <w:r>
        <w:rPr>
          <w:rFonts w:hint="eastAsia" w:ascii="仿宋_GB2312" w:hAnsi="仿宋_GB2312" w:eastAsia="仿宋_GB2312" w:cs="仿宋_GB2312"/>
          <w:b w:val="0"/>
          <w:sz w:val="32"/>
          <w:szCs w:val="32"/>
          <w:lang w:eastAsia="zh-Hans"/>
        </w:rPr>
        <w:t>碳</w:t>
      </w:r>
      <w:r>
        <w:rPr>
          <w:rFonts w:hint="eastAsia" w:ascii="仿宋_GB2312" w:hAnsi="仿宋_GB2312" w:eastAsia="仿宋_GB2312" w:cs="仿宋_GB2312"/>
          <w:b w:val="0"/>
          <w:sz w:val="32"/>
          <w:szCs w:val="32"/>
          <w:lang w:eastAsia="zh-CN"/>
        </w:rPr>
        <w:t>减排行为</w:t>
      </w:r>
      <w:r>
        <w:rPr>
          <w:rFonts w:hint="eastAsia" w:ascii="仿宋_GB2312" w:hAnsi="仿宋_GB2312" w:eastAsia="仿宋_GB2312" w:cs="仿宋_GB2312"/>
          <w:b w:val="0"/>
          <w:sz w:val="32"/>
          <w:szCs w:val="32"/>
          <w:lang w:eastAsia="zh-Hans"/>
        </w:rPr>
        <w:t>排放量</w:t>
      </w:r>
      <w:bookmarkEnd w:id="16"/>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应详细说明在碳</w:t>
      </w:r>
      <w:r>
        <w:rPr>
          <w:rFonts w:hint="eastAsia" w:ascii="仿宋_GB2312" w:hAnsi="仿宋_GB2312" w:eastAsia="仿宋_GB2312" w:cs="仿宋_GB2312"/>
          <w:sz w:val="32"/>
          <w:szCs w:val="32"/>
          <w:lang w:eastAsia="zh-CN"/>
        </w:rPr>
        <w:t>减排行为</w:t>
      </w:r>
      <w:r>
        <w:rPr>
          <w:rFonts w:hint="eastAsia" w:ascii="仿宋_GB2312" w:hAnsi="仿宋_GB2312" w:eastAsia="仿宋_GB2312" w:cs="仿宋_GB2312"/>
          <w:sz w:val="32"/>
          <w:szCs w:val="32"/>
          <w:lang w:eastAsia="zh-Hans"/>
        </w:rPr>
        <w:t>情景下边界内温室气体排放量的计算方法，包括计算公式、参数含义和数据来源。</w:t>
      </w:r>
    </w:p>
    <w:p>
      <w:pPr>
        <w:keepNext w:val="0"/>
        <w:keepLines w:val="0"/>
        <w:pageBreakBefore w:val="0"/>
        <w:numPr>
          <w:ilvl w:val="0"/>
          <w:numId w:val="2"/>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sz w:val="32"/>
          <w:szCs w:val="32"/>
        </w:rPr>
      </w:pPr>
      <w:bookmarkStart w:id="17" w:name="_Toc23987"/>
      <w:r>
        <w:rPr>
          <w:rFonts w:hint="eastAsia" w:ascii="仿宋_GB2312" w:hAnsi="仿宋_GB2312" w:eastAsia="仿宋_GB2312" w:cs="仿宋_GB2312"/>
          <w:b w:val="0"/>
          <w:sz w:val="32"/>
          <w:szCs w:val="32"/>
          <w:lang w:eastAsia="zh-Hans"/>
        </w:rPr>
        <w:t>碳</w:t>
      </w:r>
      <w:r>
        <w:rPr>
          <w:rFonts w:hint="eastAsia" w:ascii="仿宋_GB2312" w:hAnsi="仿宋_GB2312" w:eastAsia="仿宋_GB2312" w:cs="仿宋_GB2312"/>
          <w:b w:val="0"/>
          <w:bCs w:val="0"/>
          <w:sz w:val="32"/>
          <w:szCs w:val="32"/>
          <w:lang w:eastAsia="zh-Hans"/>
        </w:rPr>
        <w:t>普惠</w:t>
      </w:r>
      <w:r>
        <w:rPr>
          <w:rFonts w:hint="eastAsia" w:ascii="仿宋_GB2312" w:hAnsi="仿宋_GB2312" w:eastAsia="仿宋_GB2312" w:cs="仿宋_GB2312"/>
          <w:b w:val="0"/>
          <w:sz w:val="32"/>
          <w:szCs w:val="32"/>
        </w:rPr>
        <w:t>减排量计算</w:t>
      </w:r>
      <w:bookmarkEnd w:id="17"/>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Hans"/>
        </w:rPr>
        <w:t>应详细</w:t>
      </w:r>
      <w:r>
        <w:rPr>
          <w:rFonts w:hint="eastAsia" w:ascii="仿宋_GB2312" w:hAnsi="仿宋_GB2312" w:eastAsia="仿宋_GB2312" w:cs="仿宋_GB2312"/>
          <w:sz w:val="32"/>
          <w:szCs w:val="32"/>
        </w:rPr>
        <w:t>说明实施</w:t>
      </w:r>
      <w:r>
        <w:rPr>
          <w:rFonts w:hint="eastAsia" w:ascii="仿宋_GB2312" w:hAnsi="仿宋_GB2312" w:eastAsia="仿宋_GB2312" w:cs="仿宋_GB2312"/>
          <w:sz w:val="32"/>
          <w:szCs w:val="32"/>
          <w:lang w:eastAsia="zh-CN"/>
        </w:rPr>
        <w:t>减排行为</w:t>
      </w:r>
      <w:r>
        <w:rPr>
          <w:rFonts w:hint="eastAsia" w:ascii="仿宋_GB2312" w:hAnsi="仿宋_GB2312" w:eastAsia="仿宋_GB2312" w:cs="仿宋_GB2312"/>
          <w:sz w:val="32"/>
          <w:szCs w:val="32"/>
        </w:rPr>
        <w:t>所产生的减排量的计算</w:t>
      </w:r>
      <w:r>
        <w:rPr>
          <w:rFonts w:hint="eastAsia" w:ascii="仿宋_GB2312" w:hAnsi="仿宋_GB2312" w:eastAsia="仿宋_GB2312" w:cs="仿宋_GB2312"/>
          <w:sz w:val="32"/>
          <w:szCs w:val="32"/>
          <w:lang w:eastAsia="zh-Hans"/>
        </w:rPr>
        <w:t>公式</w:t>
      </w:r>
      <w:r>
        <w:rPr>
          <w:rFonts w:hint="eastAsia" w:ascii="仿宋_GB2312" w:hAnsi="仿宋_GB2312" w:eastAsia="仿宋_GB2312" w:cs="仿宋_GB2312"/>
          <w:sz w:val="32"/>
          <w:szCs w:val="32"/>
        </w:rPr>
        <w:t>。</w:t>
      </w:r>
    </w:p>
    <w:p>
      <w:pPr>
        <w:keepNext w:val="0"/>
        <w:keepLines w:val="0"/>
        <w:pageBreakBefore w:val="0"/>
        <w:numPr>
          <w:ilvl w:val="0"/>
          <w:numId w:val="2"/>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sz w:val="32"/>
          <w:szCs w:val="32"/>
        </w:rPr>
      </w:pPr>
      <w:bookmarkStart w:id="18" w:name="_Toc9489"/>
      <w:r>
        <w:rPr>
          <w:rFonts w:hint="eastAsia" w:ascii="仿宋_GB2312" w:hAnsi="仿宋_GB2312" w:eastAsia="仿宋_GB2312" w:cs="仿宋_GB2312"/>
          <w:b w:val="0"/>
          <w:bCs w:val="0"/>
          <w:sz w:val="32"/>
          <w:szCs w:val="32"/>
          <w:lang w:eastAsia="zh-Hans"/>
        </w:rPr>
        <w:t>数据</w:t>
      </w:r>
      <w:r>
        <w:rPr>
          <w:rFonts w:hint="eastAsia" w:ascii="仿宋_GB2312" w:hAnsi="仿宋_GB2312" w:eastAsia="仿宋_GB2312" w:cs="仿宋_GB2312"/>
          <w:b w:val="0"/>
          <w:sz w:val="32"/>
          <w:szCs w:val="32"/>
        </w:rPr>
        <w:t>来源及监测</w:t>
      </w:r>
      <w:bookmarkEnd w:id="18"/>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Hans"/>
        </w:rPr>
        <w:t>应详细</w:t>
      </w:r>
      <w:r>
        <w:rPr>
          <w:rFonts w:hint="eastAsia" w:ascii="仿宋_GB2312" w:hAnsi="仿宋_GB2312" w:eastAsia="仿宋_GB2312" w:cs="仿宋_GB2312"/>
          <w:sz w:val="32"/>
          <w:szCs w:val="32"/>
        </w:rPr>
        <w:t>说明方法学中涉及的</w:t>
      </w:r>
      <w:r>
        <w:rPr>
          <w:rFonts w:hint="eastAsia" w:ascii="仿宋_GB2312" w:hAnsi="仿宋_GB2312" w:eastAsia="仿宋_GB2312" w:cs="仿宋_GB2312"/>
          <w:sz w:val="32"/>
          <w:szCs w:val="32"/>
          <w:lang w:eastAsia="zh-Hans"/>
        </w:rPr>
        <w:t>确定的参数和数据，以及实施阶段需</w:t>
      </w:r>
      <w:r>
        <w:rPr>
          <w:rFonts w:hint="eastAsia" w:ascii="仿宋_GB2312" w:hAnsi="仿宋_GB2312" w:eastAsia="仿宋_GB2312" w:cs="仿宋_GB2312"/>
          <w:sz w:val="32"/>
          <w:szCs w:val="32"/>
        </w:rPr>
        <w:t>监测</w:t>
      </w:r>
      <w:r>
        <w:rPr>
          <w:rFonts w:hint="eastAsia" w:ascii="仿宋_GB2312" w:hAnsi="仿宋_GB2312" w:eastAsia="仿宋_GB2312" w:cs="仿宋_GB2312"/>
          <w:sz w:val="32"/>
          <w:szCs w:val="32"/>
          <w:lang w:eastAsia="zh-Hans"/>
        </w:rPr>
        <w:t>的参数和数据</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Hans"/>
        </w:rPr>
        <w:t>具体包括</w:t>
      </w:r>
      <w:r>
        <w:rPr>
          <w:rFonts w:hint="eastAsia" w:ascii="仿宋_GB2312" w:hAnsi="仿宋_GB2312" w:eastAsia="仿宋_GB2312" w:cs="仿宋_GB2312"/>
          <w:sz w:val="32"/>
          <w:szCs w:val="32"/>
        </w:rPr>
        <w:t>数据的</w:t>
      </w:r>
      <w:r>
        <w:rPr>
          <w:rFonts w:hint="eastAsia" w:ascii="仿宋_GB2312" w:hAnsi="仿宋_GB2312" w:eastAsia="仿宋_GB2312" w:cs="仿宋_GB2312"/>
          <w:sz w:val="32"/>
          <w:szCs w:val="32"/>
          <w:lang w:eastAsia="zh-Hans"/>
        </w:rPr>
        <w:t>名称、</w:t>
      </w:r>
      <w:r>
        <w:rPr>
          <w:rFonts w:hint="eastAsia" w:ascii="仿宋_GB2312" w:hAnsi="仿宋_GB2312" w:eastAsia="仿宋_GB2312" w:cs="仿宋_GB2312"/>
          <w:sz w:val="32"/>
          <w:szCs w:val="32"/>
        </w:rPr>
        <w:t>描述、单位、来源、</w:t>
      </w:r>
      <w:r>
        <w:rPr>
          <w:rFonts w:hint="eastAsia" w:ascii="仿宋_GB2312" w:hAnsi="仿宋_GB2312" w:eastAsia="仿宋_GB2312" w:cs="仿宋_GB2312"/>
          <w:sz w:val="32"/>
          <w:szCs w:val="32"/>
          <w:lang w:eastAsia="zh-Hans"/>
        </w:rPr>
        <w:t>选用合理性（采取缺省值的情况），以及监测数据的</w:t>
      </w:r>
      <w:r>
        <w:rPr>
          <w:rFonts w:hint="eastAsia" w:ascii="仿宋_GB2312" w:hAnsi="仿宋_GB2312" w:eastAsia="仿宋_GB2312" w:cs="仿宋_GB2312"/>
          <w:sz w:val="32"/>
          <w:szCs w:val="32"/>
        </w:rPr>
        <w:t>监测方法、监测频次、</w:t>
      </w:r>
      <w:r>
        <w:rPr>
          <w:rFonts w:hint="eastAsia" w:ascii="仿宋_GB2312" w:hAnsi="仿宋_GB2312" w:eastAsia="仿宋_GB2312" w:cs="仿宋_GB2312"/>
          <w:sz w:val="32"/>
          <w:szCs w:val="32"/>
          <w:lang w:eastAsia="zh-Hans"/>
        </w:rPr>
        <w:t>质量保证与质量控制程序</w:t>
      </w:r>
      <w:r>
        <w:rPr>
          <w:rFonts w:hint="eastAsia" w:ascii="仿宋_GB2312" w:hAnsi="仿宋_GB2312" w:eastAsia="仿宋_GB2312" w:cs="仿宋_GB2312"/>
          <w:sz w:val="32"/>
          <w:szCs w:val="32"/>
        </w:rPr>
        <w:t>等信息。</w:t>
      </w:r>
    </w:p>
    <w:p>
      <w:pPr>
        <w:keepNext w:val="0"/>
        <w:keepLines w:val="0"/>
        <w:pageBreakBefore w:val="0"/>
        <w:numPr>
          <w:ilvl w:val="0"/>
          <w:numId w:val="2"/>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sz w:val="32"/>
          <w:szCs w:val="32"/>
          <w:lang w:eastAsia="zh-Hans"/>
        </w:rPr>
      </w:pPr>
      <w:bookmarkStart w:id="19" w:name="_Toc29506"/>
      <w:r>
        <w:rPr>
          <w:rFonts w:hint="eastAsia" w:ascii="仿宋_GB2312" w:hAnsi="仿宋_GB2312" w:eastAsia="仿宋_GB2312" w:cs="仿宋_GB2312"/>
          <w:b w:val="0"/>
          <w:sz w:val="32"/>
          <w:szCs w:val="32"/>
          <w:lang w:eastAsia="zh-Hans"/>
        </w:rPr>
        <w:t>实施及监测的数据管理要求</w:t>
      </w:r>
      <w:bookmarkEnd w:id="19"/>
      <w:bookmarkStart w:id="20" w:name="OLE_LINK10"/>
      <w:bookmarkStart w:id="21" w:name="OLE_LINK11"/>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方法学应详细说明</w:t>
      </w:r>
      <w:bookmarkEnd w:id="20"/>
      <w:bookmarkEnd w:id="21"/>
      <w:r>
        <w:rPr>
          <w:rFonts w:hint="eastAsia" w:ascii="仿宋_GB2312" w:hAnsi="仿宋_GB2312" w:eastAsia="仿宋_GB2312" w:cs="仿宋_GB2312"/>
          <w:sz w:val="32"/>
          <w:szCs w:val="32"/>
          <w:lang w:eastAsia="zh-Hans"/>
        </w:rPr>
        <w:t>实施及监测计划应做好的数据管理及数据质量控制的存档要求，以满足减排量核算与核查需求。包括：监测职责分工、监测设备与安装情况、监测点位示意图，数据监测、传递、汇总和报告的信息流及相关台账记录，质量保证与质量控制程序等。如果所造成的环境影响较显著，则监测计划还应包括收集相关的环境影响信息。</w:t>
      </w:r>
    </w:p>
    <w:p>
      <w:pPr>
        <w:keepNext w:val="0"/>
        <w:keepLines w:val="0"/>
        <w:pageBreakBefore w:val="0"/>
        <w:kinsoku/>
        <w:wordWrap/>
        <w:overflowPunct/>
        <w:topLinePunct w:val="0"/>
        <w:autoSpaceDE/>
        <w:autoSpaceDN/>
        <w:bidi w:val="0"/>
        <w:spacing w:line="560" w:lineRule="exact"/>
        <w:ind w:firstLine="640" w:firstLineChars="200"/>
        <w:textAlignment w:val="auto"/>
        <w:outlineLvl w:val="1"/>
        <w:rPr>
          <w:rFonts w:hint="eastAsia" w:ascii="楷体_GB2312" w:hAnsi="楷体_GB2312" w:eastAsia="楷体_GB2312" w:cs="楷体_GB2312"/>
          <w:b w:val="0"/>
          <w:bCs w:val="0"/>
          <w:kern w:val="0"/>
          <w:sz w:val="32"/>
          <w:szCs w:val="32"/>
          <w:lang w:eastAsia="zh-Hans"/>
        </w:rPr>
      </w:pPr>
      <w:bookmarkStart w:id="22" w:name="_Toc20032"/>
      <w:r>
        <w:rPr>
          <w:rFonts w:hint="eastAsia" w:ascii="楷体_GB2312" w:hAnsi="楷体_GB2312" w:eastAsia="楷体_GB2312" w:cs="楷体_GB2312"/>
          <w:b w:val="0"/>
          <w:bCs w:val="0"/>
          <w:kern w:val="0"/>
          <w:sz w:val="32"/>
          <w:szCs w:val="32"/>
          <w:lang w:eastAsia="zh-CN"/>
        </w:rPr>
        <w:t>（</w:t>
      </w:r>
      <w:r>
        <w:rPr>
          <w:rFonts w:hint="eastAsia" w:ascii="楷体_GB2312" w:hAnsi="楷体_GB2312" w:eastAsia="楷体_GB2312" w:cs="楷体_GB2312"/>
          <w:b w:val="0"/>
          <w:bCs w:val="0"/>
          <w:kern w:val="0"/>
          <w:sz w:val="32"/>
          <w:szCs w:val="32"/>
          <w:lang w:val="en-US" w:eastAsia="zh-CN"/>
        </w:rPr>
        <w:t>三</w:t>
      </w:r>
      <w:r>
        <w:rPr>
          <w:rFonts w:hint="eastAsia" w:ascii="楷体_GB2312" w:hAnsi="楷体_GB2312" w:eastAsia="楷体_GB2312" w:cs="楷体_GB2312"/>
          <w:b w:val="0"/>
          <w:bCs w:val="0"/>
          <w:kern w:val="0"/>
          <w:sz w:val="32"/>
          <w:szCs w:val="32"/>
          <w:lang w:eastAsia="zh-CN"/>
        </w:rPr>
        <w:t>）编制说明</w:t>
      </w:r>
      <w:bookmarkEnd w:id="22"/>
    </w:p>
    <w:p>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编制说明应包括方法</w:t>
      </w:r>
      <w:r>
        <w:rPr>
          <w:rFonts w:hint="eastAsia" w:ascii="仿宋_GB2312" w:hAnsi="仿宋_GB2312" w:eastAsia="仿宋_GB2312" w:cs="仿宋_GB2312"/>
          <w:sz w:val="32"/>
          <w:szCs w:val="32"/>
          <w:lang w:eastAsia="zh-CN"/>
        </w:rPr>
        <w:t>学的</w:t>
      </w:r>
      <w:r>
        <w:rPr>
          <w:rFonts w:hint="eastAsia" w:ascii="仿宋_GB2312" w:hAnsi="仿宋_GB2312" w:eastAsia="仿宋_GB2312" w:cs="仿宋_GB2312"/>
          <w:sz w:val="32"/>
          <w:szCs w:val="32"/>
          <w:lang w:eastAsia="zh-Hans"/>
        </w:rPr>
        <w:t>编制目的、编制原则、编制依据、编制过程、主要技术指标说明以及数据采集和计算方法选取的考虑、参考文献等内容；</w:t>
      </w:r>
      <w:bookmarkStart w:id="23" w:name="CopyTo"/>
      <w:bookmarkEnd w:id="23"/>
      <w:r>
        <w:rPr>
          <w:rFonts w:hint="eastAsia" w:ascii="仿宋_GB2312" w:hAnsi="仿宋_GB2312" w:eastAsia="仿宋_GB2312" w:cs="仿宋_GB2312"/>
          <w:sz w:val="32"/>
          <w:szCs w:val="32"/>
          <w:lang w:eastAsia="zh-Hans"/>
        </w:rPr>
        <w:t>国内其他省市相关方法学开发背景情况、技术现状；方法学对推进减污降碳协同增效、引导社会绿色低碳发展的重要意义；方法学所</w:t>
      </w:r>
      <w:r>
        <w:rPr>
          <w:rFonts w:hint="eastAsia" w:ascii="仿宋_GB2312" w:hAnsi="仿宋_GB2312" w:eastAsia="仿宋_GB2312" w:cs="仿宋_GB2312"/>
          <w:sz w:val="32"/>
          <w:szCs w:val="32"/>
          <w:lang w:val="en-US" w:eastAsia="zh-CN"/>
        </w:rPr>
        <w:t>涉及的</w:t>
      </w:r>
      <w:r>
        <w:rPr>
          <w:rFonts w:hint="eastAsia" w:ascii="仿宋_GB2312" w:hAnsi="仿宋_GB2312" w:eastAsia="仿宋_GB2312" w:cs="仿宋_GB2312"/>
          <w:sz w:val="32"/>
          <w:szCs w:val="32"/>
          <w:lang w:eastAsia="zh-Hans"/>
        </w:rPr>
        <w:t>成本效益分析，描述服务运营方的人力、财力和物力等资源投入，以及对</w:t>
      </w:r>
      <w:r>
        <w:rPr>
          <w:rFonts w:hint="eastAsia" w:ascii="仿宋_GB2312" w:hAnsi="仿宋_GB2312" w:eastAsia="仿宋_GB2312" w:cs="仿宋_GB2312"/>
          <w:sz w:val="32"/>
          <w:szCs w:val="32"/>
          <w:lang w:val="en-US" w:eastAsia="zh-CN"/>
        </w:rPr>
        <w:t>南昌</w:t>
      </w:r>
      <w:r>
        <w:rPr>
          <w:rFonts w:hint="eastAsia" w:ascii="仿宋_GB2312" w:hAnsi="仿宋_GB2312" w:eastAsia="仿宋_GB2312" w:cs="仿宋_GB2312"/>
          <w:sz w:val="32"/>
          <w:szCs w:val="32"/>
          <w:lang w:eastAsia="zh-Hans"/>
        </w:rPr>
        <w:t>个人</w:t>
      </w:r>
      <w:r>
        <w:rPr>
          <w:rFonts w:hint="eastAsia" w:ascii="仿宋_GB2312" w:hAnsi="仿宋_GB2312" w:eastAsia="仿宋_GB2312" w:cs="仿宋_GB2312"/>
          <w:sz w:val="32"/>
          <w:szCs w:val="32"/>
          <w:lang w:val="en-US" w:eastAsia="zh-CN"/>
        </w:rPr>
        <w:t>碳普惠平台</w:t>
      </w:r>
      <w:r>
        <w:rPr>
          <w:rFonts w:hint="eastAsia" w:ascii="仿宋_GB2312" w:hAnsi="仿宋_GB2312" w:eastAsia="仿宋_GB2312" w:cs="仿宋_GB2312"/>
          <w:sz w:val="32"/>
          <w:szCs w:val="32"/>
          <w:lang w:eastAsia="zh-Hans"/>
        </w:rPr>
        <w:t>用户的激励措施及投入等；试算预期减排量。</w:t>
      </w:r>
    </w:p>
    <w:p>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hint="eastAsia" w:ascii="黑体" w:hAnsi="黑体" w:eastAsia="黑体" w:cs="黑体"/>
          <w:b w:val="0"/>
          <w:bCs w:val="0"/>
          <w:sz w:val="32"/>
          <w:szCs w:val="32"/>
        </w:rPr>
      </w:pPr>
      <w:bookmarkStart w:id="24" w:name="_Toc5440"/>
      <w:r>
        <w:rPr>
          <w:rFonts w:hint="eastAsia" w:ascii="黑体" w:hAnsi="黑体" w:eastAsia="黑体" w:cs="黑体"/>
          <w:b w:val="0"/>
          <w:bCs w:val="0"/>
          <w:sz w:val="32"/>
          <w:szCs w:val="32"/>
          <w:lang w:val="en-US" w:eastAsia="zh-CN"/>
        </w:rPr>
        <w:t>二、碳普惠</w:t>
      </w:r>
      <w:r>
        <w:rPr>
          <w:rFonts w:hint="eastAsia" w:ascii="黑体" w:hAnsi="黑体" w:eastAsia="黑体" w:cs="黑体"/>
          <w:b w:val="0"/>
          <w:bCs w:val="0"/>
          <w:sz w:val="32"/>
          <w:szCs w:val="32"/>
        </w:rPr>
        <w:t>申报、评估与公布</w:t>
      </w:r>
      <w:bookmarkEnd w:id="24"/>
    </w:p>
    <w:p>
      <w:pPr>
        <w:pStyle w:val="6"/>
        <w:keepNext w:val="0"/>
        <w:keepLines w:val="0"/>
        <w:pageBreakBefore w:val="0"/>
        <w:kinsoku/>
        <w:wordWrap/>
        <w:overflowPunct/>
        <w:topLinePunct w:val="0"/>
        <w:autoSpaceDE/>
        <w:autoSpaceDN/>
        <w:bidi w:val="0"/>
        <w:spacing w:after="0" w:line="560" w:lineRule="exact"/>
        <w:ind w:firstLine="640" w:firstLineChars="200"/>
        <w:textAlignment w:val="auto"/>
        <w:outlineLvl w:val="1"/>
        <w:rPr>
          <w:rFonts w:hint="eastAsia" w:ascii="楷体_GB2312" w:hAnsi="楷体_GB2312" w:eastAsia="楷体_GB2312" w:cs="楷体_GB2312"/>
          <w:b w:val="0"/>
          <w:sz w:val="32"/>
          <w:szCs w:val="32"/>
        </w:rPr>
      </w:pPr>
      <w:bookmarkStart w:id="25" w:name="_Toc32327"/>
      <w:r>
        <w:rPr>
          <w:rFonts w:hint="eastAsia" w:ascii="楷体_GB2312" w:hAnsi="楷体_GB2312" w:eastAsia="楷体_GB2312" w:cs="楷体_GB2312"/>
          <w:b w:val="0"/>
          <w:sz w:val="32"/>
          <w:szCs w:val="32"/>
          <w:lang w:eastAsia="zh-CN"/>
        </w:rPr>
        <w:t>（</w:t>
      </w:r>
      <w:r>
        <w:rPr>
          <w:rFonts w:hint="eastAsia" w:ascii="楷体_GB2312" w:hAnsi="楷体_GB2312" w:eastAsia="楷体_GB2312" w:cs="楷体_GB2312"/>
          <w:b w:val="0"/>
          <w:sz w:val="32"/>
          <w:szCs w:val="32"/>
          <w:lang w:val="en-US" w:eastAsia="zh-CN"/>
        </w:rPr>
        <w:t>一</w:t>
      </w:r>
      <w:r>
        <w:rPr>
          <w:rFonts w:hint="eastAsia" w:ascii="楷体_GB2312" w:hAnsi="楷体_GB2312" w:eastAsia="楷体_GB2312" w:cs="楷体_GB2312"/>
          <w:b w:val="0"/>
          <w:sz w:val="32"/>
          <w:szCs w:val="32"/>
          <w:lang w:eastAsia="zh-CN"/>
        </w:rPr>
        <w:t>）</w:t>
      </w:r>
      <w:r>
        <w:rPr>
          <w:rFonts w:hint="eastAsia" w:ascii="楷体_GB2312" w:hAnsi="楷体_GB2312" w:eastAsia="楷体_GB2312" w:cs="楷体_GB2312"/>
          <w:b w:val="0"/>
          <w:sz w:val="32"/>
          <w:szCs w:val="32"/>
        </w:rPr>
        <w:t>申报</w:t>
      </w:r>
      <w:bookmarkEnd w:id="25"/>
    </w:p>
    <w:p>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机关、企事业单位、社会团体、其他社会组织、个人等可以根据本指</w:t>
      </w:r>
      <w:r>
        <w:rPr>
          <w:rFonts w:hint="eastAsia" w:ascii="仿宋_GB2312" w:hAnsi="仿宋_GB2312" w:eastAsia="仿宋_GB2312" w:cs="仿宋_GB2312"/>
          <w:sz w:val="32"/>
          <w:szCs w:val="32"/>
          <w:lang w:val="en-US" w:eastAsia="zh-CN"/>
        </w:rPr>
        <w:t>引</w:t>
      </w:r>
      <w:r>
        <w:rPr>
          <w:rFonts w:hint="eastAsia" w:ascii="仿宋_GB2312" w:hAnsi="仿宋_GB2312" w:eastAsia="仿宋_GB2312" w:cs="仿宋_GB2312"/>
          <w:sz w:val="32"/>
          <w:szCs w:val="32"/>
          <w:lang w:eastAsia="zh-Hans"/>
        </w:rPr>
        <w:t>的要求开发相应</w:t>
      </w:r>
      <w:r>
        <w:rPr>
          <w:rFonts w:hint="eastAsia" w:ascii="仿宋_GB2312" w:hAnsi="仿宋_GB2312" w:eastAsia="仿宋_GB2312" w:cs="仿宋_GB2312"/>
          <w:sz w:val="32"/>
          <w:szCs w:val="32"/>
          <w:lang w:eastAsia="zh-CN"/>
        </w:rPr>
        <w:t>减排行为</w:t>
      </w:r>
      <w:r>
        <w:rPr>
          <w:rFonts w:hint="eastAsia" w:ascii="仿宋_GB2312" w:hAnsi="仿宋_GB2312" w:eastAsia="仿宋_GB2312" w:cs="仿宋_GB2312"/>
          <w:sz w:val="32"/>
          <w:szCs w:val="32"/>
          <w:lang w:eastAsia="zh-Hans"/>
        </w:rPr>
        <w:t>方法学，并向</w:t>
      </w:r>
      <w:r>
        <w:rPr>
          <w:rFonts w:hint="eastAsia" w:ascii="仿宋_GB2312" w:hAnsi="仿宋_GB2312" w:eastAsia="仿宋_GB2312" w:cs="仿宋_GB2312"/>
          <w:sz w:val="32"/>
          <w:szCs w:val="32"/>
          <w:lang w:val="en-US" w:eastAsia="zh-CN"/>
        </w:rPr>
        <w:t>南昌市生态环境局（以下简称“市生态环境局”）</w:t>
      </w:r>
      <w:r>
        <w:rPr>
          <w:rFonts w:hint="eastAsia" w:ascii="仿宋_GB2312" w:hAnsi="仿宋_GB2312" w:eastAsia="仿宋_GB2312" w:cs="仿宋_GB2312"/>
          <w:sz w:val="32"/>
          <w:szCs w:val="32"/>
          <w:lang w:eastAsia="zh-Hans"/>
        </w:rPr>
        <w:t>提交相关申请材料，包括申请表、方法学文本等，格式与内容提纲可以参考</w:t>
      </w:r>
      <w:r>
        <w:rPr>
          <w:rFonts w:hint="eastAsia" w:ascii="仿宋_GB2312" w:hAnsi="仿宋_GB2312" w:eastAsia="仿宋_GB2312" w:cs="仿宋_GB2312"/>
          <w:sz w:val="32"/>
          <w:szCs w:val="32"/>
          <w:lang w:eastAsia="zh-CN"/>
        </w:rPr>
        <w:t>附录</w:t>
      </w:r>
      <w:r>
        <w:rPr>
          <w:rFonts w:hint="eastAsia" w:ascii="仿宋_GB2312" w:hAnsi="仿宋_GB2312" w:eastAsia="仿宋_GB2312" w:cs="仿宋_GB2312"/>
          <w:sz w:val="32"/>
          <w:szCs w:val="32"/>
          <w:lang w:eastAsia="zh-Hans"/>
        </w:rPr>
        <w:t>。</w:t>
      </w:r>
    </w:p>
    <w:p>
      <w:pPr>
        <w:pStyle w:val="6"/>
        <w:keepNext w:val="0"/>
        <w:keepLines w:val="0"/>
        <w:pageBreakBefore w:val="0"/>
        <w:kinsoku/>
        <w:wordWrap/>
        <w:overflowPunct/>
        <w:topLinePunct w:val="0"/>
        <w:autoSpaceDE/>
        <w:autoSpaceDN/>
        <w:bidi w:val="0"/>
        <w:spacing w:after="0" w:line="560" w:lineRule="exact"/>
        <w:ind w:firstLine="640" w:firstLineChars="200"/>
        <w:textAlignment w:val="auto"/>
        <w:outlineLvl w:val="1"/>
        <w:rPr>
          <w:rFonts w:hint="eastAsia" w:ascii="楷体_GB2312" w:hAnsi="楷体_GB2312" w:eastAsia="楷体_GB2312" w:cs="楷体_GB2312"/>
          <w:b w:val="0"/>
          <w:sz w:val="32"/>
          <w:szCs w:val="32"/>
          <w:lang w:eastAsia="zh-CN"/>
        </w:rPr>
      </w:pPr>
      <w:bookmarkStart w:id="26" w:name="_Toc30542"/>
      <w:r>
        <w:rPr>
          <w:rFonts w:hint="eastAsia" w:ascii="楷体_GB2312" w:hAnsi="楷体_GB2312" w:eastAsia="楷体_GB2312" w:cs="楷体_GB2312"/>
          <w:b w:val="0"/>
          <w:sz w:val="32"/>
          <w:szCs w:val="32"/>
          <w:lang w:eastAsia="zh-CN"/>
        </w:rPr>
        <w:t>（</w:t>
      </w:r>
      <w:r>
        <w:rPr>
          <w:rFonts w:hint="eastAsia" w:ascii="楷体_GB2312" w:hAnsi="楷体_GB2312" w:eastAsia="楷体_GB2312" w:cs="楷体_GB2312"/>
          <w:b w:val="0"/>
          <w:sz w:val="32"/>
          <w:szCs w:val="32"/>
          <w:lang w:val="en-US" w:eastAsia="zh-CN"/>
        </w:rPr>
        <w:t>二</w:t>
      </w:r>
      <w:r>
        <w:rPr>
          <w:rFonts w:hint="eastAsia" w:ascii="楷体_GB2312" w:hAnsi="楷体_GB2312" w:eastAsia="楷体_GB2312" w:cs="楷体_GB2312"/>
          <w:b w:val="0"/>
          <w:sz w:val="32"/>
          <w:szCs w:val="32"/>
          <w:lang w:eastAsia="zh-CN"/>
        </w:rPr>
        <w:t>）评估</w:t>
      </w:r>
      <w:bookmarkEnd w:id="26"/>
    </w:p>
    <w:p>
      <w:pPr>
        <w:keepNext w:val="0"/>
        <w:keepLines w:val="0"/>
        <w:pageBreakBefore w:val="0"/>
        <w:numPr>
          <w:ilvl w:val="0"/>
          <w:numId w:val="3"/>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sz w:val="32"/>
          <w:szCs w:val="32"/>
          <w:lang w:eastAsia="zh-Hans"/>
        </w:rPr>
      </w:pPr>
      <w:bookmarkStart w:id="27" w:name="_Toc25934"/>
      <w:r>
        <w:rPr>
          <w:rFonts w:hint="eastAsia" w:ascii="仿宋_GB2312" w:hAnsi="仿宋_GB2312" w:eastAsia="仿宋_GB2312" w:cs="仿宋_GB2312"/>
          <w:b w:val="0"/>
          <w:sz w:val="32"/>
          <w:szCs w:val="32"/>
          <w:lang w:eastAsia="zh-Hans"/>
        </w:rPr>
        <w:t>形式审查</w:t>
      </w:r>
      <w:bookmarkEnd w:id="27"/>
    </w:p>
    <w:p>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CN"/>
        </w:rPr>
        <w:t>市生态环境局</w:t>
      </w:r>
      <w:r>
        <w:rPr>
          <w:rFonts w:hint="eastAsia" w:ascii="仿宋_GB2312" w:hAnsi="仿宋_GB2312" w:eastAsia="仿宋_GB2312" w:cs="仿宋_GB2312"/>
          <w:sz w:val="32"/>
          <w:szCs w:val="32"/>
          <w:lang w:eastAsia="zh-Hans"/>
        </w:rPr>
        <w:t>收到方法学申报主体递交的申请材料后，对材料完整性、规范性等开展形式审查。</w:t>
      </w:r>
    </w:p>
    <w:p>
      <w:pPr>
        <w:keepNext w:val="0"/>
        <w:keepLines w:val="0"/>
        <w:pageBreakBefore w:val="0"/>
        <w:numPr>
          <w:ilvl w:val="0"/>
          <w:numId w:val="3"/>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sz w:val="32"/>
          <w:szCs w:val="32"/>
          <w:lang w:eastAsia="zh-Hans"/>
        </w:rPr>
      </w:pPr>
      <w:bookmarkStart w:id="28" w:name="_Toc28612"/>
      <w:r>
        <w:rPr>
          <w:rFonts w:hint="eastAsia" w:ascii="仿宋_GB2312" w:hAnsi="仿宋_GB2312" w:eastAsia="仿宋_GB2312" w:cs="仿宋_GB2312"/>
          <w:b w:val="0"/>
          <w:sz w:val="32"/>
          <w:szCs w:val="32"/>
          <w:lang w:eastAsia="zh-Hans"/>
        </w:rPr>
        <w:t>专家技术论证</w:t>
      </w:r>
      <w:bookmarkEnd w:id="28"/>
    </w:p>
    <w:p>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CN"/>
        </w:rPr>
        <w:t>市生态环境局可自行或委托碳普惠管理机构，组织专家委员会</w:t>
      </w:r>
      <w:r>
        <w:rPr>
          <w:rFonts w:hint="eastAsia" w:ascii="仿宋_GB2312" w:hAnsi="仿宋_GB2312" w:eastAsia="仿宋_GB2312" w:cs="仿宋_GB2312"/>
          <w:sz w:val="32"/>
          <w:szCs w:val="32"/>
          <w:lang w:eastAsia="zh-Hans"/>
        </w:rPr>
        <w:t>对方法学进行技术论证，原则上专家人数不得少于5人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eastAsia="zh-Hans"/>
        </w:rPr>
        <w:t>专家组</w:t>
      </w:r>
      <w:r>
        <w:rPr>
          <w:rFonts w:hint="eastAsia" w:ascii="仿宋_GB2312" w:hAnsi="仿宋_GB2312" w:eastAsia="仿宋_GB2312" w:cs="仿宋_GB2312"/>
          <w:sz w:val="32"/>
          <w:szCs w:val="32"/>
          <w:lang w:val="en-US" w:eastAsia="zh-CN"/>
        </w:rPr>
        <w:t>应</w:t>
      </w:r>
      <w:r>
        <w:rPr>
          <w:rFonts w:hint="eastAsia" w:ascii="仿宋_GB2312" w:hAnsi="仿宋_GB2312" w:eastAsia="仿宋_GB2312" w:cs="仿宋_GB2312"/>
          <w:sz w:val="32"/>
          <w:szCs w:val="32"/>
          <w:lang w:eastAsia="zh-Hans"/>
        </w:rPr>
        <w:t>出具意见。</w:t>
      </w:r>
    </w:p>
    <w:p>
      <w:pPr>
        <w:keepNext w:val="0"/>
        <w:keepLines w:val="0"/>
        <w:pageBreakBefore w:val="0"/>
        <w:numPr>
          <w:ilvl w:val="0"/>
          <w:numId w:val="3"/>
        </w:numPr>
        <w:kinsoku/>
        <w:wordWrap/>
        <w:overflowPunct/>
        <w:topLinePunct w:val="0"/>
        <w:autoSpaceDE/>
        <w:autoSpaceDN/>
        <w:bidi w:val="0"/>
        <w:spacing w:line="560" w:lineRule="exact"/>
        <w:ind w:left="0" w:leftChars="0" w:firstLine="640" w:firstLineChars="200"/>
        <w:textAlignment w:val="auto"/>
        <w:outlineLvl w:val="2"/>
        <w:rPr>
          <w:rFonts w:hint="eastAsia" w:ascii="仿宋_GB2312" w:hAnsi="仿宋_GB2312" w:eastAsia="仿宋_GB2312" w:cs="仿宋_GB2312"/>
          <w:b w:val="0"/>
          <w:sz w:val="32"/>
          <w:szCs w:val="32"/>
          <w:lang w:eastAsia="zh-Hans"/>
        </w:rPr>
      </w:pPr>
      <w:bookmarkStart w:id="29" w:name="_Toc29687"/>
      <w:r>
        <w:rPr>
          <w:rFonts w:hint="eastAsia" w:ascii="仿宋_GB2312" w:hAnsi="仿宋_GB2312" w:eastAsia="仿宋_GB2312" w:cs="仿宋_GB2312"/>
          <w:b w:val="0"/>
          <w:sz w:val="32"/>
          <w:szCs w:val="32"/>
          <w:lang w:eastAsia="zh-Hans"/>
        </w:rPr>
        <w:t>文本完善</w:t>
      </w:r>
      <w:bookmarkEnd w:id="29"/>
    </w:p>
    <w:p>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方法学申报主体根据专家意见修改完善相关文本，</w:t>
      </w:r>
      <w:r>
        <w:rPr>
          <w:rFonts w:hint="eastAsia" w:ascii="仿宋_GB2312" w:hAnsi="仿宋_GB2312" w:eastAsia="仿宋_GB2312" w:cs="仿宋_GB2312"/>
          <w:sz w:val="32"/>
          <w:szCs w:val="32"/>
          <w:lang w:val="en-US" w:eastAsia="zh-CN"/>
        </w:rPr>
        <w:t>再次向</w:t>
      </w:r>
      <w:r>
        <w:rPr>
          <w:rFonts w:hint="eastAsia" w:ascii="仿宋_GB2312" w:hAnsi="仿宋_GB2312" w:eastAsia="仿宋_GB2312" w:cs="仿宋_GB2312"/>
          <w:sz w:val="32"/>
          <w:szCs w:val="32"/>
          <w:lang w:eastAsia="zh-CN"/>
        </w:rPr>
        <w:t>市生态环境局</w:t>
      </w:r>
      <w:r>
        <w:rPr>
          <w:rFonts w:hint="eastAsia" w:ascii="仿宋_GB2312" w:hAnsi="仿宋_GB2312" w:eastAsia="仿宋_GB2312" w:cs="仿宋_GB2312"/>
          <w:sz w:val="32"/>
          <w:szCs w:val="32"/>
          <w:lang w:eastAsia="zh-Hans"/>
        </w:rPr>
        <w:t>提交。</w:t>
      </w:r>
    </w:p>
    <w:p>
      <w:pPr>
        <w:pStyle w:val="6"/>
        <w:keepNext w:val="0"/>
        <w:keepLines w:val="0"/>
        <w:pageBreakBefore w:val="0"/>
        <w:kinsoku/>
        <w:wordWrap/>
        <w:overflowPunct/>
        <w:topLinePunct w:val="0"/>
        <w:autoSpaceDE/>
        <w:autoSpaceDN/>
        <w:bidi w:val="0"/>
        <w:spacing w:after="0" w:line="560" w:lineRule="exact"/>
        <w:ind w:firstLine="640" w:firstLineChars="200"/>
        <w:textAlignment w:val="auto"/>
        <w:outlineLvl w:val="1"/>
        <w:rPr>
          <w:rFonts w:hint="eastAsia" w:ascii="楷体_GB2312" w:hAnsi="楷体_GB2312" w:eastAsia="楷体_GB2312" w:cs="楷体_GB2312"/>
          <w:b w:val="0"/>
          <w:sz w:val="32"/>
          <w:szCs w:val="32"/>
          <w:lang w:eastAsia="zh-CN"/>
        </w:rPr>
      </w:pPr>
      <w:bookmarkStart w:id="30" w:name="_Toc22987"/>
      <w:r>
        <w:rPr>
          <w:rFonts w:hint="eastAsia" w:ascii="楷体_GB2312" w:hAnsi="楷体_GB2312" w:eastAsia="楷体_GB2312" w:cs="楷体_GB2312"/>
          <w:b w:val="0"/>
          <w:sz w:val="32"/>
          <w:szCs w:val="32"/>
          <w:lang w:eastAsia="zh-CN"/>
        </w:rPr>
        <w:t>（</w:t>
      </w:r>
      <w:r>
        <w:rPr>
          <w:rFonts w:hint="eastAsia" w:ascii="楷体_GB2312" w:hAnsi="楷体_GB2312" w:eastAsia="楷体_GB2312" w:cs="楷体_GB2312"/>
          <w:b w:val="0"/>
          <w:sz w:val="32"/>
          <w:szCs w:val="32"/>
          <w:lang w:val="en-US" w:eastAsia="zh-CN"/>
        </w:rPr>
        <w:t>三</w:t>
      </w:r>
      <w:r>
        <w:rPr>
          <w:rFonts w:hint="eastAsia" w:ascii="楷体_GB2312" w:hAnsi="楷体_GB2312" w:eastAsia="楷体_GB2312" w:cs="楷体_GB2312"/>
          <w:b w:val="0"/>
          <w:sz w:val="32"/>
          <w:szCs w:val="32"/>
          <w:lang w:eastAsia="zh-CN"/>
        </w:rPr>
        <w:t>）公布</w:t>
      </w:r>
      <w:bookmarkEnd w:id="30"/>
    </w:p>
    <w:p>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方法学经评估通过</w:t>
      </w:r>
      <w:r>
        <w:rPr>
          <w:rFonts w:hint="eastAsia" w:ascii="仿宋_GB2312" w:hAnsi="仿宋_GB2312" w:eastAsia="仿宋_GB2312" w:cs="仿宋_GB2312"/>
          <w:sz w:val="32"/>
          <w:szCs w:val="32"/>
          <w:lang w:val="en-US" w:eastAsia="zh-CN"/>
        </w:rPr>
        <w:t>后，应按流程</w:t>
      </w:r>
      <w:r>
        <w:rPr>
          <w:rFonts w:hint="eastAsia" w:ascii="仿宋_GB2312" w:hAnsi="仿宋_GB2312" w:eastAsia="仿宋_GB2312" w:cs="仿宋_GB2312"/>
          <w:sz w:val="32"/>
          <w:szCs w:val="32"/>
          <w:lang w:eastAsia="zh-Hans"/>
        </w:rPr>
        <w:t>向</w:t>
      </w:r>
      <w:r>
        <w:rPr>
          <w:rFonts w:hint="eastAsia" w:ascii="仿宋_GB2312" w:hAnsi="仿宋_GB2312" w:eastAsia="仿宋_GB2312" w:cs="仿宋_GB2312"/>
          <w:sz w:val="32"/>
          <w:szCs w:val="32"/>
          <w:lang w:val="en-US" w:eastAsia="zh-CN"/>
        </w:rPr>
        <w:t>省生态环境厅备案并向</w:t>
      </w:r>
      <w:r>
        <w:rPr>
          <w:rFonts w:hint="eastAsia" w:ascii="仿宋_GB2312" w:hAnsi="仿宋_GB2312" w:eastAsia="仿宋_GB2312" w:cs="仿宋_GB2312"/>
          <w:sz w:val="32"/>
          <w:szCs w:val="32"/>
          <w:lang w:eastAsia="zh-Hans"/>
        </w:rPr>
        <w:t>社会公开发布。</w:t>
      </w:r>
    </w:p>
    <w:p>
      <w:pPr>
        <w:pStyle w:val="6"/>
        <w:keepNext w:val="0"/>
        <w:keepLines w:val="0"/>
        <w:pageBreakBefore w:val="0"/>
        <w:kinsoku/>
        <w:wordWrap/>
        <w:overflowPunct/>
        <w:topLinePunct w:val="0"/>
        <w:autoSpaceDE/>
        <w:autoSpaceDN/>
        <w:bidi w:val="0"/>
        <w:spacing w:after="0" w:line="560" w:lineRule="exact"/>
        <w:ind w:firstLine="640" w:firstLineChars="200"/>
        <w:textAlignment w:val="auto"/>
        <w:outlineLvl w:val="1"/>
        <w:rPr>
          <w:rFonts w:hint="eastAsia" w:ascii="楷体_GB2312" w:hAnsi="楷体_GB2312" w:eastAsia="楷体_GB2312" w:cs="楷体_GB2312"/>
          <w:b w:val="0"/>
          <w:sz w:val="32"/>
          <w:szCs w:val="32"/>
          <w:lang w:eastAsia="zh-CN"/>
        </w:rPr>
      </w:pPr>
      <w:bookmarkStart w:id="31" w:name="bookmark20"/>
      <w:bookmarkEnd w:id="31"/>
      <w:bookmarkStart w:id="32" w:name="_Toc31089"/>
      <w:r>
        <w:rPr>
          <w:rFonts w:hint="eastAsia" w:ascii="楷体_GB2312" w:hAnsi="楷体_GB2312" w:eastAsia="楷体_GB2312" w:cs="楷体_GB2312"/>
          <w:b w:val="0"/>
          <w:sz w:val="32"/>
          <w:szCs w:val="32"/>
          <w:lang w:eastAsia="zh-CN"/>
        </w:rPr>
        <w:t>（</w:t>
      </w:r>
      <w:r>
        <w:rPr>
          <w:rFonts w:hint="eastAsia" w:ascii="楷体_GB2312" w:hAnsi="楷体_GB2312" w:eastAsia="楷体_GB2312" w:cs="楷体_GB2312"/>
          <w:b w:val="0"/>
          <w:sz w:val="32"/>
          <w:szCs w:val="32"/>
          <w:lang w:val="en-US" w:eastAsia="zh-CN"/>
        </w:rPr>
        <w:t>四</w:t>
      </w:r>
      <w:r>
        <w:rPr>
          <w:rFonts w:hint="eastAsia" w:ascii="楷体_GB2312" w:hAnsi="楷体_GB2312" w:eastAsia="楷体_GB2312" w:cs="楷体_GB2312"/>
          <w:b w:val="0"/>
          <w:sz w:val="32"/>
          <w:szCs w:val="32"/>
          <w:lang w:eastAsia="zh-CN"/>
        </w:rPr>
        <w:t>）修订更新</w:t>
      </w:r>
      <w:bookmarkEnd w:id="32"/>
    </w:p>
    <w:p>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CN"/>
        </w:rPr>
        <w:t>市生态环境局</w:t>
      </w:r>
      <w:r>
        <w:rPr>
          <w:rFonts w:hint="eastAsia" w:ascii="仿宋_GB2312" w:hAnsi="仿宋_GB2312" w:eastAsia="仿宋_GB2312" w:cs="仿宋_GB2312"/>
          <w:sz w:val="32"/>
          <w:szCs w:val="32"/>
          <w:lang w:eastAsia="zh-Hans"/>
        </w:rPr>
        <w:t>可以组织方法学修订。方法学开发主体或者使用主体，可以向</w:t>
      </w:r>
      <w:r>
        <w:rPr>
          <w:rFonts w:hint="eastAsia" w:ascii="仿宋_GB2312" w:hAnsi="仿宋_GB2312" w:eastAsia="仿宋_GB2312" w:cs="仿宋_GB2312"/>
          <w:sz w:val="32"/>
          <w:szCs w:val="32"/>
          <w:lang w:eastAsia="zh-CN"/>
        </w:rPr>
        <w:t>市生态环境局</w:t>
      </w:r>
      <w:r>
        <w:rPr>
          <w:rFonts w:hint="eastAsia" w:ascii="仿宋_GB2312" w:hAnsi="仿宋_GB2312" w:eastAsia="仿宋_GB2312" w:cs="仿宋_GB2312"/>
          <w:sz w:val="32"/>
          <w:szCs w:val="32"/>
          <w:lang w:eastAsia="zh-Hans"/>
        </w:rPr>
        <w:t>申请方法学修订，其申请、评估流程与申报新方法学一致。</w:t>
      </w:r>
    </w:p>
    <w:p>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eastAsia="zh-Hans"/>
        </w:rPr>
      </w:pPr>
    </w:p>
    <w:p>
      <w:pPr>
        <w:keepNext w:val="0"/>
        <w:keepLines w:val="0"/>
        <w:pageBreakBefore w:val="0"/>
        <w:widowControl/>
        <w:kinsoku/>
        <w:wordWrap/>
        <w:overflowPunct/>
        <w:topLinePunct w:val="0"/>
        <w:autoSpaceDE/>
        <w:autoSpaceDN/>
        <w:bidi w:val="0"/>
        <w:spacing w:line="5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pPr>
        <w:keepNext w:val="0"/>
        <w:keepLines w:val="0"/>
        <w:pageBreakBefore w:val="0"/>
        <w:kinsoku/>
        <w:wordWrap/>
        <w:overflowPunct/>
        <w:topLinePunct w:val="0"/>
        <w:autoSpaceDE/>
        <w:autoSpaceDN/>
        <w:bidi w:val="0"/>
        <w:spacing w:line="560" w:lineRule="exact"/>
        <w:textAlignment w:val="auto"/>
        <w:outlineLvl w:val="0"/>
        <w:rPr>
          <w:rFonts w:hint="eastAsia" w:ascii="黑体" w:hAnsi="黑体" w:eastAsia="黑体" w:cs="黑体"/>
          <w:sz w:val="32"/>
          <w:szCs w:val="32"/>
        </w:rPr>
      </w:pPr>
      <w:bookmarkStart w:id="33" w:name="_Toc28107"/>
      <w:bookmarkStart w:id="34" w:name="_Toc130915013"/>
      <w:r>
        <w:rPr>
          <w:rFonts w:hint="eastAsia" w:ascii="黑体" w:hAnsi="黑体" w:eastAsia="黑体" w:cs="黑体"/>
          <w:sz w:val="32"/>
          <w:szCs w:val="32"/>
          <w:lang w:eastAsia="zh-CN"/>
        </w:rPr>
        <w:t>附录</w:t>
      </w:r>
      <w:r>
        <w:rPr>
          <w:rFonts w:hint="eastAsia" w:ascii="黑体" w:hAnsi="黑体" w:eastAsia="黑体" w:cs="黑体"/>
          <w:sz w:val="32"/>
          <w:szCs w:val="32"/>
        </w:rPr>
        <w:t>1</w:t>
      </w:r>
      <w:bookmarkEnd w:id="33"/>
    </w:p>
    <w:p>
      <w:pPr>
        <w:keepNext w:val="0"/>
        <w:keepLines w:val="0"/>
        <w:pageBreakBefore w:val="0"/>
        <w:kinsoku/>
        <w:wordWrap/>
        <w:overflowPunct/>
        <w:topLinePunct w:val="0"/>
        <w:autoSpaceDE/>
        <w:autoSpaceDN/>
        <w:bidi w:val="0"/>
        <w:spacing w:line="560" w:lineRule="exact"/>
        <w:ind w:firstLine="440" w:firstLineChars="10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val="en-US" w:eastAsia="zh-CN"/>
        </w:rPr>
        <w:t>南昌</w:t>
      </w:r>
      <w:r>
        <w:rPr>
          <w:rFonts w:hint="eastAsia" w:ascii="方正小标宋简体" w:hAnsi="方正小标宋简体" w:eastAsia="方正小标宋简体" w:cs="方正小标宋简体"/>
          <w:sz w:val="44"/>
          <w:szCs w:val="44"/>
          <w:lang w:eastAsia="zh-Hans"/>
        </w:rPr>
        <w:t>市碳普惠方法学编制提纲</w:t>
      </w:r>
      <w:bookmarkEnd w:id="34"/>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参考</w:t>
      </w:r>
      <w:r>
        <w:rPr>
          <w:rFonts w:hint="eastAsia" w:ascii="方正小标宋简体" w:hAnsi="方正小标宋简体" w:eastAsia="方正小标宋简体" w:cs="方正小标宋简体"/>
          <w:sz w:val="44"/>
          <w:szCs w:val="44"/>
          <w:lang w:eastAsia="zh-CN"/>
        </w:rPr>
        <w:t>）</w:t>
      </w:r>
    </w:p>
    <w:p>
      <w:pPr>
        <w:keepNext w:val="0"/>
        <w:keepLines w:val="0"/>
        <w:pageBreakBefore w:val="0"/>
        <w:kinsoku/>
        <w:wordWrap/>
        <w:overflowPunct/>
        <w:topLinePunct w:val="0"/>
        <w:autoSpaceDE/>
        <w:autoSpaceDN/>
        <w:bidi w:val="0"/>
        <w:spacing w:line="560" w:lineRule="exact"/>
        <w:textAlignment w:val="auto"/>
        <w:rPr>
          <w:rFonts w:hint="eastAsia" w:ascii="仿宋_GB2312" w:hAnsi="仿宋_GB2312" w:eastAsia="仿宋_GB2312" w:cs="仿宋_GB2312"/>
          <w:sz w:val="32"/>
          <w:szCs w:val="32"/>
          <w:lang w:eastAsia="zh-Hans"/>
        </w:rPr>
      </w:pPr>
    </w:p>
    <w:p>
      <w:pPr>
        <w:keepNext w:val="0"/>
        <w:keepLines w:val="0"/>
        <w:pageBreakBefore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sz w:val="44"/>
          <w:szCs w:val="44"/>
          <w:lang w:eastAsia="zh-Hans"/>
        </w:rPr>
      </w:pPr>
    </w:p>
    <w:p>
      <w:pPr>
        <w:keepNext w:val="0"/>
        <w:keepLines w:val="0"/>
        <w:pageBreakBefore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sz w:val="44"/>
          <w:szCs w:val="44"/>
          <w:lang w:eastAsia="zh-Hans"/>
        </w:rPr>
      </w:pPr>
      <w:r>
        <w:rPr>
          <w:rFonts w:hint="eastAsia" w:ascii="方正小标宋简体" w:hAnsi="方正小标宋简体" w:eastAsia="方正小标宋简体" w:cs="方正小标宋简体"/>
          <w:sz w:val="44"/>
          <w:szCs w:val="44"/>
          <w:lang w:eastAsia="zh-Hans"/>
        </w:rPr>
        <w:t>XXXX方法学</w:t>
      </w:r>
    </w:p>
    <w:p>
      <w:pPr>
        <w:keepNext w:val="0"/>
        <w:keepLines w:val="0"/>
        <w:pageBreakBefore w:val="0"/>
        <w:kinsoku/>
        <w:wordWrap/>
        <w:overflowPunct/>
        <w:topLinePunct w:val="0"/>
        <w:autoSpaceDE/>
        <w:autoSpaceDN/>
        <w:bidi w:val="0"/>
        <w:spacing w:line="560" w:lineRule="exact"/>
        <w:textAlignment w:val="auto"/>
        <w:rPr>
          <w:rFonts w:hint="eastAsia" w:ascii="仿宋_GB2312" w:hAnsi="仿宋_GB2312" w:eastAsia="仿宋_GB2312" w:cs="仿宋_GB2312"/>
          <w:sz w:val="32"/>
          <w:szCs w:val="32"/>
          <w:lang w:eastAsia="zh-Hans"/>
        </w:rPr>
      </w:pP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黑体" w:hAnsi="黑体" w:eastAsia="黑体" w:cs="黑体"/>
          <w:sz w:val="32"/>
          <w:szCs w:val="32"/>
          <w:lang w:eastAsia="zh-Hans"/>
        </w:rPr>
      </w:pPr>
      <w:r>
        <w:rPr>
          <w:rFonts w:hint="eastAsia" w:ascii="黑体" w:hAnsi="黑体" w:eastAsia="黑体" w:cs="黑体"/>
          <w:sz w:val="32"/>
          <w:szCs w:val="32"/>
        </w:rPr>
        <w:t>一、</w:t>
      </w:r>
      <w:r>
        <w:rPr>
          <w:rFonts w:hint="eastAsia" w:ascii="黑体" w:hAnsi="黑体" w:eastAsia="黑体" w:cs="黑体"/>
          <w:sz w:val="32"/>
          <w:szCs w:val="32"/>
          <w:lang w:eastAsia="zh-Hans"/>
        </w:rPr>
        <w:t>引言</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黑体" w:hAnsi="黑体" w:eastAsia="黑体" w:cs="黑体"/>
          <w:sz w:val="32"/>
          <w:szCs w:val="32"/>
          <w:lang w:eastAsia="zh-Hans"/>
        </w:rPr>
      </w:pPr>
      <w:r>
        <w:rPr>
          <w:rFonts w:hint="eastAsia" w:ascii="黑体" w:hAnsi="黑体" w:eastAsia="黑体" w:cs="黑体"/>
          <w:sz w:val="32"/>
          <w:szCs w:val="32"/>
          <w:lang w:eastAsia="zh-Hans"/>
        </w:rPr>
        <w:t>二</w:t>
      </w:r>
      <w:r>
        <w:rPr>
          <w:rFonts w:hint="eastAsia" w:ascii="黑体" w:hAnsi="黑体" w:eastAsia="黑体" w:cs="黑体"/>
          <w:sz w:val="32"/>
          <w:szCs w:val="32"/>
        </w:rPr>
        <w:t>、</w:t>
      </w:r>
      <w:r>
        <w:rPr>
          <w:rFonts w:hint="eastAsia" w:ascii="黑体" w:hAnsi="黑体" w:eastAsia="黑体" w:cs="黑体"/>
          <w:sz w:val="32"/>
          <w:szCs w:val="32"/>
          <w:lang w:eastAsia="zh-Hans"/>
        </w:rPr>
        <w:t>适用条件</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黑体" w:hAnsi="黑体" w:eastAsia="黑体" w:cs="黑体"/>
          <w:sz w:val="32"/>
          <w:szCs w:val="32"/>
          <w:lang w:eastAsia="zh-Hans"/>
        </w:rPr>
      </w:pPr>
      <w:r>
        <w:rPr>
          <w:rFonts w:hint="eastAsia" w:ascii="黑体" w:hAnsi="黑体" w:eastAsia="黑体" w:cs="黑体"/>
          <w:sz w:val="32"/>
          <w:szCs w:val="32"/>
          <w:lang w:eastAsia="zh-Hans"/>
        </w:rPr>
        <w:t>三</w:t>
      </w:r>
      <w:r>
        <w:rPr>
          <w:rFonts w:hint="eastAsia" w:ascii="黑体" w:hAnsi="黑体" w:eastAsia="黑体" w:cs="黑体"/>
          <w:sz w:val="32"/>
          <w:szCs w:val="32"/>
        </w:rPr>
        <w:t>、</w:t>
      </w:r>
      <w:r>
        <w:rPr>
          <w:rFonts w:hint="eastAsia" w:ascii="黑体" w:hAnsi="黑体" w:eastAsia="黑体" w:cs="黑体"/>
          <w:sz w:val="32"/>
          <w:szCs w:val="32"/>
          <w:lang w:eastAsia="zh-Hans"/>
        </w:rPr>
        <w:t>引用文件</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黑体" w:hAnsi="黑体" w:eastAsia="黑体" w:cs="黑体"/>
          <w:sz w:val="32"/>
          <w:szCs w:val="32"/>
          <w:lang w:eastAsia="zh-Hans"/>
        </w:rPr>
      </w:pPr>
      <w:r>
        <w:rPr>
          <w:rFonts w:hint="eastAsia" w:ascii="黑体" w:hAnsi="黑体" w:eastAsia="黑体" w:cs="黑体"/>
          <w:sz w:val="32"/>
          <w:szCs w:val="32"/>
          <w:lang w:eastAsia="zh-Hans"/>
        </w:rPr>
        <w:t>四</w:t>
      </w:r>
      <w:r>
        <w:rPr>
          <w:rFonts w:hint="eastAsia" w:ascii="黑体" w:hAnsi="黑体" w:eastAsia="黑体" w:cs="黑体"/>
          <w:sz w:val="32"/>
          <w:szCs w:val="32"/>
        </w:rPr>
        <w:t>、</w:t>
      </w:r>
      <w:r>
        <w:rPr>
          <w:rFonts w:hint="eastAsia" w:ascii="黑体" w:hAnsi="黑体" w:eastAsia="黑体" w:cs="黑体"/>
          <w:sz w:val="32"/>
          <w:szCs w:val="32"/>
          <w:lang w:eastAsia="zh-Hans"/>
        </w:rPr>
        <w:t>术语与定义</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Hans"/>
        </w:rPr>
        <w:t>五</w:t>
      </w:r>
      <w:r>
        <w:rPr>
          <w:rFonts w:hint="eastAsia" w:ascii="黑体" w:hAnsi="黑体" w:eastAsia="黑体" w:cs="黑体"/>
          <w:sz w:val="32"/>
          <w:szCs w:val="32"/>
        </w:rPr>
        <w:t>、</w:t>
      </w:r>
      <w:r>
        <w:rPr>
          <w:rFonts w:hint="eastAsia" w:ascii="黑体" w:hAnsi="黑体" w:eastAsia="黑体" w:cs="黑体"/>
          <w:sz w:val="32"/>
          <w:szCs w:val="32"/>
          <w:lang w:eastAsia="zh-CN"/>
        </w:rPr>
        <w:t>减排行为</w:t>
      </w:r>
      <w:r>
        <w:rPr>
          <w:rFonts w:hint="eastAsia" w:ascii="黑体" w:hAnsi="黑体" w:eastAsia="黑体" w:cs="黑体"/>
          <w:sz w:val="32"/>
          <w:szCs w:val="32"/>
          <w:lang w:eastAsia="zh-Hans"/>
        </w:rPr>
        <w:t>边界及排放源（汇或库）</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eastAsia="zh-Hans"/>
        </w:rPr>
      </w:pPr>
      <w:r>
        <w:rPr>
          <w:rFonts w:hint="eastAsia" w:ascii="黑体" w:hAnsi="黑体" w:eastAsia="黑体" w:cs="黑体"/>
          <w:sz w:val="32"/>
          <w:szCs w:val="32"/>
          <w:lang w:eastAsia="zh-Hans"/>
        </w:rPr>
        <w:t>六</w:t>
      </w:r>
      <w:r>
        <w:rPr>
          <w:rFonts w:hint="eastAsia" w:ascii="黑体" w:hAnsi="黑体" w:eastAsia="黑体" w:cs="黑体"/>
          <w:sz w:val="32"/>
          <w:szCs w:val="32"/>
        </w:rPr>
        <w:t>、</w:t>
      </w:r>
      <w:r>
        <w:rPr>
          <w:rFonts w:hint="eastAsia" w:ascii="黑体" w:hAnsi="黑体" w:eastAsia="黑体" w:cs="黑体"/>
          <w:sz w:val="32"/>
          <w:szCs w:val="32"/>
          <w:lang w:eastAsia="zh-Hans"/>
        </w:rPr>
        <w:t>减排量核算</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sz w:val="32"/>
          <w:szCs w:val="32"/>
          <w:lang w:eastAsia="zh-Hans"/>
        </w:rPr>
      </w:pPr>
      <w:r>
        <w:rPr>
          <w:rFonts w:hint="eastAsia" w:ascii="楷体_GB2312" w:hAnsi="楷体_GB2312" w:eastAsia="楷体_GB2312" w:cs="楷体_GB2312"/>
          <w:sz w:val="32"/>
          <w:szCs w:val="32"/>
        </w:rPr>
        <w:t>（一）</w:t>
      </w:r>
      <w:r>
        <w:rPr>
          <w:rFonts w:hint="eastAsia" w:ascii="楷体_GB2312" w:hAnsi="楷体_GB2312" w:eastAsia="楷体_GB2312" w:cs="楷体_GB2312"/>
          <w:sz w:val="32"/>
          <w:szCs w:val="32"/>
          <w:lang w:eastAsia="zh-Hans"/>
        </w:rPr>
        <w:t>基准线情景识别</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sz w:val="32"/>
          <w:szCs w:val="32"/>
          <w:lang w:eastAsia="zh-Hans"/>
        </w:rPr>
      </w:pPr>
      <w:r>
        <w:rPr>
          <w:rFonts w:hint="eastAsia" w:ascii="楷体_GB2312" w:hAnsi="楷体_GB2312" w:eastAsia="楷体_GB2312" w:cs="楷体_GB2312"/>
          <w:sz w:val="32"/>
          <w:szCs w:val="32"/>
        </w:rPr>
        <w:t>（二）</w:t>
      </w:r>
      <w:r>
        <w:rPr>
          <w:rFonts w:hint="eastAsia" w:ascii="楷体_GB2312" w:hAnsi="楷体_GB2312" w:eastAsia="楷体_GB2312" w:cs="楷体_GB2312"/>
          <w:sz w:val="32"/>
          <w:szCs w:val="32"/>
          <w:lang w:eastAsia="zh-Hans"/>
        </w:rPr>
        <w:t>额外性论证</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sz w:val="32"/>
          <w:szCs w:val="32"/>
          <w:lang w:eastAsia="zh-Hans"/>
        </w:rPr>
      </w:pPr>
      <w:r>
        <w:rPr>
          <w:rFonts w:hint="eastAsia" w:ascii="楷体_GB2312" w:hAnsi="楷体_GB2312" w:eastAsia="楷体_GB2312" w:cs="楷体_GB2312"/>
          <w:sz w:val="32"/>
          <w:szCs w:val="32"/>
        </w:rPr>
        <w:t>（三）</w:t>
      </w:r>
      <w:r>
        <w:rPr>
          <w:rFonts w:hint="eastAsia" w:ascii="楷体_GB2312" w:hAnsi="楷体_GB2312" w:eastAsia="楷体_GB2312" w:cs="楷体_GB2312"/>
          <w:sz w:val="32"/>
          <w:szCs w:val="32"/>
          <w:lang w:eastAsia="zh-Hans"/>
        </w:rPr>
        <w:t>基准线排放计算</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sz w:val="32"/>
          <w:szCs w:val="32"/>
          <w:lang w:eastAsia="zh-Hans"/>
        </w:rPr>
      </w:pPr>
      <w:r>
        <w:rPr>
          <w:rFonts w:hint="eastAsia" w:ascii="楷体_GB2312" w:hAnsi="楷体_GB2312" w:eastAsia="楷体_GB2312" w:cs="楷体_GB2312"/>
          <w:sz w:val="32"/>
          <w:szCs w:val="32"/>
        </w:rPr>
        <w:t>（四）</w:t>
      </w:r>
      <w:r>
        <w:rPr>
          <w:rFonts w:hint="eastAsia" w:ascii="楷体_GB2312" w:hAnsi="楷体_GB2312" w:eastAsia="楷体_GB2312" w:cs="楷体_GB2312"/>
          <w:sz w:val="32"/>
          <w:szCs w:val="32"/>
          <w:lang w:eastAsia="zh-CN"/>
        </w:rPr>
        <w:t>减排行为</w:t>
      </w:r>
      <w:r>
        <w:rPr>
          <w:rFonts w:hint="eastAsia" w:ascii="楷体_GB2312" w:hAnsi="楷体_GB2312" w:eastAsia="楷体_GB2312" w:cs="楷体_GB2312"/>
          <w:sz w:val="32"/>
          <w:szCs w:val="32"/>
          <w:lang w:eastAsia="zh-Hans"/>
        </w:rPr>
        <w:t>排放计算</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sz w:val="32"/>
          <w:szCs w:val="32"/>
          <w:lang w:eastAsia="zh-Hans"/>
        </w:rPr>
      </w:pPr>
      <w:r>
        <w:rPr>
          <w:rFonts w:hint="eastAsia" w:ascii="楷体_GB2312" w:hAnsi="楷体_GB2312" w:eastAsia="楷体_GB2312" w:cs="楷体_GB2312"/>
          <w:sz w:val="32"/>
          <w:szCs w:val="32"/>
        </w:rPr>
        <w:t>（五）</w:t>
      </w:r>
      <w:r>
        <w:rPr>
          <w:rFonts w:hint="eastAsia" w:ascii="楷体_GB2312" w:hAnsi="楷体_GB2312" w:eastAsia="楷体_GB2312" w:cs="楷体_GB2312"/>
          <w:sz w:val="32"/>
          <w:szCs w:val="32"/>
          <w:lang w:eastAsia="zh-CN"/>
        </w:rPr>
        <w:t>减排行为</w:t>
      </w:r>
      <w:r>
        <w:rPr>
          <w:rFonts w:hint="eastAsia" w:ascii="楷体_GB2312" w:hAnsi="楷体_GB2312" w:eastAsia="楷体_GB2312" w:cs="楷体_GB2312"/>
          <w:sz w:val="32"/>
          <w:szCs w:val="32"/>
          <w:lang w:eastAsia="zh-Hans"/>
        </w:rPr>
        <w:t>减排量核算</w:t>
      </w:r>
    </w:p>
    <w:p>
      <w:pPr>
        <w:keepNext w:val="0"/>
        <w:keepLines w:val="0"/>
        <w:pageBreakBefore w:val="0"/>
        <w:kinsoku/>
        <w:wordWrap/>
        <w:overflowPunct/>
        <w:topLinePunct w:val="0"/>
        <w:autoSpaceDE/>
        <w:autoSpaceDN/>
        <w:bidi w:val="0"/>
        <w:spacing w:line="560" w:lineRule="exact"/>
        <w:ind w:firstLine="640" w:firstLineChars="200"/>
        <w:textAlignment w:val="auto"/>
        <w:outlineLvl w:val="9"/>
        <w:rPr>
          <w:rFonts w:hint="eastAsia" w:ascii="黑体" w:hAnsi="黑体" w:eastAsia="黑体" w:cs="黑体"/>
          <w:sz w:val="32"/>
          <w:szCs w:val="32"/>
          <w:lang w:eastAsia="zh-Hans"/>
        </w:rPr>
      </w:pPr>
      <w:r>
        <w:rPr>
          <w:rFonts w:hint="eastAsia" w:ascii="黑体" w:hAnsi="黑体" w:eastAsia="黑体" w:cs="黑体"/>
          <w:sz w:val="32"/>
          <w:szCs w:val="32"/>
        </w:rPr>
        <w:t>七、</w:t>
      </w:r>
      <w:r>
        <w:rPr>
          <w:rFonts w:hint="eastAsia" w:ascii="黑体" w:hAnsi="黑体" w:eastAsia="黑体" w:cs="黑体"/>
          <w:sz w:val="32"/>
          <w:szCs w:val="32"/>
          <w:lang w:eastAsia="zh-Hans"/>
        </w:rPr>
        <w:t>数据来源与监测</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sz w:val="32"/>
          <w:szCs w:val="32"/>
          <w:lang w:eastAsia="zh-Hans"/>
        </w:rPr>
      </w:pPr>
      <w:r>
        <w:rPr>
          <w:rFonts w:hint="eastAsia" w:ascii="楷体_GB2312" w:hAnsi="楷体_GB2312" w:eastAsia="楷体_GB2312" w:cs="楷体_GB2312"/>
          <w:sz w:val="32"/>
          <w:szCs w:val="32"/>
        </w:rPr>
        <w:t>（一）</w:t>
      </w:r>
      <w:r>
        <w:rPr>
          <w:rFonts w:hint="eastAsia" w:ascii="楷体_GB2312" w:hAnsi="楷体_GB2312" w:eastAsia="楷体_GB2312" w:cs="楷体_GB2312"/>
          <w:sz w:val="32"/>
          <w:szCs w:val="32"/>
          <w:lang w:eastAsia="zh-Hans"/>
        </w:rPr>
        <w:t>设计阶段确定的参数和数据</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sz w:val="32"/>
          <w:szCs w:val="32"/>
          <w:lang w:eastAsia="zh-Hans"/>
        </w:rPr>
      </w:pPr>
      <w:r>
        <w:rPr>
          <w:rFonts w:hint="eastAsia" w:ascii="楷体_GB2312" w:hAnsi="楷体_GB2312" w:eastAsia="楷体_GB2312" w:cs="楷体_GB2312"/>
          <w:sz w:val="32"/>
          <w:szCs w:val="32"/>
        </w:rPr>
        <w:t>（二）</w:t>
      </w:r>
      <w:r>
        <w:rPr>
          <w:rFonts w:hint="eastAsia" w:ascii="楷体_GB2312" w:hAnsi="楷体_GB2312" w:eastAsia="楷体_GB2312" w:cs="楷体_GB2312"/>
          <w:sz w:val="32"/>
          <w:szCs w:val="32"/>
          <w:lang w:eastAsia="zh-Hans"/>
        </w:rPr>
        <w:t>实施阶段需监测的参数和数据</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sz w:val="32"/>
          <w:szCs w:val="32"/>
          <w:lang w:eastAsia="zh-Hans"/>
        </w:rPr>
      </w:pPr>
      <w:r>
        <w:rPr>
          <w:rFonts w:hint="eastAsia" w:ascii="楷体_GB2312" w:hAnsi="楷体_GB2312" w:eastAsia="楷体_GB2312" w:cs="楷体_GB2312"/>
          <w:sz w:val="32"/>
          <w:szCs w:val="32"/>
        </w:rPr>
        <w:t>（三）</w:t>
      </w:r>
      <w:r>
        <w:rPr>
          <w:rFonts w:hint="eastAsia" w:ascii="楷体_GB2312" w:hAnsi="楷体_GB2312" w:eastAsia="楷体_GB2312" w:cs="楷体_GB2312"/>
          <w:sz w:val="32"/>
          <w:szCs w:val="32"/>
          <w:lang w:eastAsia="zh-Hans"/>
        </w:rPr>
        <w:t>实施及监测的数据管理要求</w:t>
      </w:r>
    </w:p>
    <w:p>
      <w:pPr>
        <w:keepNext w:val="0"/>
        <w:keepLines w:val="0"/>
        <w:pageBreakBefore w:val="0"/>
        <w:kinsoku/>
        <w:wordWrap/>
        <w:overflowPunct/>
        <w:topLinePunct w:val="0"/>
        <w:autoSpaceDE/>
        <w:autoSpaceDN/>
        <w:bidi w:val="0"/>
        <w:spacing w:line="560" w:lineRule="exact"/>
        <w:ind w:firstLine="640" w:firstLineChars="200"/>
        <w:textAlignment w:val="auto"/>
        <w:outlineLvl w:val="9"/>
        <w:rPr>
          <w:rFonts w:hint="eastAsia" w:ascii="黑体" w:hAnsi="黑体" w:eastAsia="黑体" w:cs="黑体"/>
          <w:sz w:val="32"/>
          <w:szCs w:val="32"/>
          <w:lang w:eastAsia="zh-Hans"/>
        </w:rPr>
      </w:pPr>
      <w:r>
        <w:rPr>
          <w:rFonts w:hint="eastAsia" w:ascii="黑体" w:hAnsi="黑体" w:eastAsia="黑体" w:cs="黑体"/>
          <w:sz w:val="32"/>
          <w:szCs w:val="32"/>
          <w:lang w:eastAsia="zh-Hans"/>
        </w:rPr>
        <w:t>八</w:t>
      </w:r>
      <w:r>
        <w:rPr>
          <w:rFonts w:hint="eastAsia" w:ascii="黑体" w:hAnsi="黑体" w:eastAsia="黑体" w:cs="黑体"/>
          <w:sz w:val="32"/>
          <w:szCs w:val="32"/>
        </w:rPr>
        <w:t>、</w:t>
      </w:r>
      <w:r>
        <w:rPr>
          <w:rFonts w:hint="eastAsia" w:ascii="黑体" w:hAnsi="黑体" w:eastAsia="黑体" w:cs="黑体"/>
          <w:sz w:val="32"/>
          <w:szCs w:val="32"/>
          <w:lang w:eastAsia="zh-Hans"/>
        </w:rPr>
        <w:t>方法学编制说明</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sz w:val="32"/>
          <w:szCs w:val="32"/>
          <w:lang w:eastAsia="zh-Hans"/>
        </w:rPr>
      </w:pPr>
      <w:r>
        <w:rPr>
          <w:rFonts w:hint="eastAsia" w:ascii="楷体_GB2312" w:hAnsi="楷体_GB2312" w:eastAsia="楷体_GB2312" w:cs="楷体_GB2312"/>
          <w:sz w:val="32"/>
          <w:szCs w:val="32"/>
        </w:rPr>
        <w:t>（一）</w:t>
      </w:r>
      <w:r>
        <w:rPr>
          <w:rFonts w:hint="eastAsia" w:ascii="楷体_GB2312" w:hAnsi="楷体_GB2312" w:eastAsia="楷体_GB2312" w:cs="楷体_GB2312"/>
          <w:sz w:val="32"/>
          <w:szCs w:val="32"/>
          <w:lang w:eastAsia="zh-Hans"/>
        </w:rPr>
        <w:t>牵头编制机构</w:t>
      </w:r>
      <w:r>
        <w:rPr>
          <w:rFonts w:hint="eastAsia" w:ascii="楷体_GB2312" w:hAnsi="楷体_GB2312" w:eastAsia="楷体_GB2312" w:cs="楷体_GB2312"/>
          <w:sz w:val="32"/>
          <w:szCs w:val="32"/>
        </w:rPr>
        <w:t>/个人名称</w:t>
      </w:r>
      <w:r>
        <w:rPr>
          <w:rFonts w:hint="eastAsia" w:ascii="楷体_GB2312" w:hAnsi="楷体_GB2312" w:eastAsia="楷体_GB2312" w:cs="楷体_GB2312"/>
          <w:sz w:val="32"/>
          <w:szCs w:val="32"/>
          <w:lang w:eastAsia="zh-Hans"/>
        </w:rPr>
        <w:t>、联系人及联系方式</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sz w:val="32"/>
          <w:szCs w:val="32"/>
          <w:lang w:eastAsia="zh-Hans"/>
        </w:rPr>
      </w:pPr>
      <w:r>
        <w:rPr>
          <w:rFonts w:hint="eastAsia" w:ascii="楷体_GB2312" w:hAnsi="楷体_GB2312" w:eastAsia="楷体_GB2312" w:cs="楷体_GB2312"/>
          <w:sz w:val="32"/>
          <w:szCs w:val="32"/>
        </w:rPr>
        <w:t>（二）</w:t>
      </w:r>
      <w:r>
        <w:rPr>
          <w:rFonts w:hint="eastAsia" w:ascii="楷体_GB2312" w:hAnsi="楷体_GB2312" w:eastAsia="楷体_GB2312" w:cs="楷体_GB2312"/>
          <w:sz w:val="32"/>
          <w:szCs w:val="32"/>
          <w:lang w:eastAsia="zh-Hans"/>
        </w:rPr>
        <w:t>主要编写人员</w:t>
      </w:r>
    </w:p>
    <w:tbl>
      <w:tblPr>
        <w:tblStyle w:val="14"/>
        <w:tblW w:w="889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982"/>
        <w:gridCol w:w="1915"/>
        <w:gridCol w:w="2505"/>
        <w:gridCol w:w="1619"/>
        <w:gridCol w:w="187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82" w:type="dxa"/>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sz w:val="32"/>
                <w:szCs w:val="32"/>
                <w:lang w:eastAsia="zh-Hans"/>
              </w:rPr>
            </w:pPr>
            <w:r>
              <w:rPr>
                <w:rFonts w:hint="eastAsia" w:ascii="仿宋_GB2312" w:hAnsi="仿宋_GB2312" w:eastAsia="仿宋_GB2312" w:cs="仿宋_GB2312"/>
                <w:b/>
                <w:sz w:val="32"/>
                <w:szCs w:val="32"/>
                <w:lang w:eastAsia="zh-Hans"/>
              </w:rPr>
              <w:t>序号</w:t>
            </w:r>
          </w:p>
        </w:tc>
        <w:tc>
          <w:tcPr>
            <w:tcW w:w="1915" w:type="dxa"/>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sz w:val="32"/>
                <w:szCs w:val="32"/>
                <w:lang w:eastAsia="zh-Hans"/>
              </w:rPr>
            </w:pPr>
            <w:r>
              <w:rPr>
                <w:rFonts w:hint="eastAsia" w:ascii="仿宋_GB2312" w:hAnsi="仿宋_GB2312" w:eastAsia="仿宋_GB2312" w:cs="仿宋_GB2312"/>
                <w:b/>
                <w:sz w:val="32"/>
                <w:szCs w:val="32"/>
                <w:lang w:eastAsia="zh-Hans"/>
              </w:rPr>
              <w:t>人员姓名</w:t>
            </w:r>
          </w:p>
        </w:tc>
        <w:tc>
          <w:tcPr>
            <w:tcW w:w="2505" w:type="dxa"/>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sz w:val="32"/>
                <w:szCs w:val="32"/>
                <w:lang w:eastAsia="zh-Hans"/>
              </w:rPr>
            </w:pPr>
            <w:r>
              <w:rPr>
                <w:rFonts w:hint="eastAsia" w:ascii="仿宋_GB2312" w:hAnsi="仿宋_GB2312" w:eastAsia="仿宋_GB2312" w:cs="仿宋_GB2312"/>
                <w:b/>
                <w:sz w:val="32"/>
                <w:szCs w:val="32"/>
                <w:lang w:eastAsia="zh-Hans"/>
              </w:rPr>
              <w:t>单位名称</w:t>
            </w:r>
          </w:p>
        </w:tc>
        <w:tc>
          <w:tcPr>
            <w:tcW w:w="1619" w:type="dxa"/>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sz w:val="32"/>
                <w:szCs w:val="32"/>
                <w:lang w:eastAsia="zh-Hans"/>
              </w:rPr>
            </w:pPr>
            <w:r>
              <w:rPr>
                <w:rFonts w:hint="eastAsia" w:ascii="仿宋_GB2312" w:hAnsi="仿宋_GB2312" w:eastAsia="仿宋_GB2312" w:cs="仿宋_GB2312"/>
                <w:b/>
                <w:sz w:val="32"/>
                <w:szCs w:val="32"/>
                <w:lang w:eastAsia="zh-Hans"/>
              </w:rPr>
              <w:t>专业</w:t>
            </w:r>
          </w:p>
        </w:tc>
        <w:tc>
          <w:tcPr>
            <w:tcW w:w="1876" w:type="dxa"/>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sz w:val="32"/>
                <w:szCs w:val="32"/>
                <w:lang w:eastAsia="zh-Hans"/>
              </w:rPr>
            </w:pPr>
            <w:r>
              <w:rPr>
                <w:rFonts w:hint="eastAsia" w:ascii="仿宋_GB2312" w:hAnsi="仿宋_GB2312" w:eastAsia="仿宋_GB2312" w:cs="仿宋_GB2312"/>
                <w:b/>
                <w:sz w:val="32"/>
                <w:szCs w:val="32"/>
                <w:lang w:eastAsia="zh-Hans"/>
              </w:rPr>
              <w:t>职称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82" w:type="dxa"/>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sz w:val="32"/>
                <w:szCs w:val="32"/>
                <w:lang w:eastAsia="zh-Hans"/>
              </w:rPr>
            </w:pPr>
          </w:p>
        </w:tc>
        <w:tc>
          <w:tcPr>
            <w:tcW w:w="1915" w:type="dxa"/>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sz w:val="32"/>
                <w:szCs w:val="32"/>
                <w:lang w:eastAsia="zh-Hans"/>
              </w:rPr>
            </w:pPr>
          </w:p>
        </w:tc>
        <w:tc>
          <w:tcPr>
            <w:tcW w:w="2505" w:type="dxa"/>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sz w:val="32"/>
                <w:szCs w:val="32"/>
                <w:lang w:eastAsia="zh-Hans"/>
              </w:rPr>
            </w:pPr>
          </w:p>
        </w:tc>
        <w:tc>
          <w:tcPr>
            <w:tcW w:w="1619" w:type="dxa"/>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sz w:val="32"/>
                <w:szCs w:val="32"/>
                <w:lang w:eastAsia="zh-Hans"/>
              </w:rPr>
            </w:pPr>
          </w:p>
        </w:tc>
        <w:tc>
          <w:tcPr>
            <w:tcW w:w="1876" w:type="dxa"/>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sz w:val="32"/>
                <w:szCs w:val="32"/>
                <w:lang w:eastAsia="zh-Hans"/>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82" w:type="dxa"/>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sz w:val="32"/>
                <w:szCs w:val="32"/>
                <w:lang w:eastAsia="zh-Hans"/>
              </w:rPr>
            </w:pPr>
          </w:p>
        </w:tc>
        <w:tc>
          <w:tcPr>
            <w:tcW w:w="1915" w:type="dxa"/>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sz w:val="32"/>
                <w:szCs w:val="32"/>
                <w:lang w:eastAsia="zh-Hans"/>
              </w:rPr>
            </w:pPr>
          </w:p>
        </w:tc>
        <w:tc>
          <w:tcPr>
            <w:tcW w:w="2505" w:type="dxa"/>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sz w:val="32"/>
                <w:szCs w:val="32"/>
                <w:lang w:eastAsia="zh-Hans"/>
              </w:rPr>
            </w:pPr>
          </w:p>
        </w:tc>
        <w:tc>
          <w:tcPr>
            <w:tcW w:w="1619" w:type="dxa"/>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sz w:val="32"/>
                <w:szCs w:val="32"/>
                <w:lang w:eastAsia="zh-Hans"/>
              </w:rPr>
            </w:pPr>
          </w:p>
        </w:tc>
        <w:tc>
          <w:tcPr>
            <w:tcW w:w="1876" w:type="dxa"/>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sz w:val="32"/>
                <w:szCs w:val="32"/>
                <w:lang w:eastAsia="zh-Hans"/>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82" w:type="dxa"/>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sz w:val="32"/>
                <w:szCs w:val="32"/>
                <w:lang w:eastAsia="zh-Hans"/>
              </w:rPr>
            </w:pPr>
          </w:p>
        </w:tc>
        <w:tc>
          <w:tcPr>
            <w:tcW w:w="1915" w:type="dxa"/>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sz w:val="32"/>
                <w:szCs w:val="32"/>
                <w:lang w:eastAsia="zh-Hans"/>
              </w:rPr>
            </w:pPr>
          </w:p>
        </w:tc>
        <w:tc>
          <w:tcPr>
            <w:tcW w:w="2505" w:type="dxa"/>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sz w:val="32"/>
                <w:szCs w:val="32"/>
                <w:lang w:eastAsia="zh-Hans"/>
              </w:rPr>
            </w:pPr>
          </w:p>
        </w:tc>
        <w:tc>
          <w:tcPr>
            <w:tcW w:w="1619" w:type="dxa"/>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sz w:val="32"/>
                <w:szCs w:val="32"/>
                <w:lang w:eastAsia="zh-Hans"/>
              </w:rPr>
            </w:pPr>
          </w:p>
        </w:tc>
        <w:tc>
          <w:tcPr>
            <w:tcW w:w="1876" w:type="dxa"/>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sz w:val="32"/>
                <w:szCs w:val="32"/>
                <w:lang w:eastAsia="zh-Hans"/>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82" w:type="dxa"/>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sz w:val="32"/>
                <w:szCs w:val="32"/>
                <w:lang w:eastAsia="zh-Hans"/>
              </w:rPr>
            </w:pPr>
          </w:p>
        </w:tc>
        <w:tc>
          <w:tcPr>
            <w:tcW w:w="1915" w:type="dxa"/>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sz w:val="32"/>
                <w:szCs w:val="32"/>
                <w:lang w:eastAsia="zh-Hans"/>
              </w:rPr>
            </w:pPr>
          </w:p>
        </w:tc>
        <w:tc>
          <w:tcPr>
            <w:tcW w:w="2505" w:type="dxa"/>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sz w:val="32"/>
                <w:szCs w:val="32"/>
                <w:lang w:eastAsia="zh-Hans"/>
              </w:rPr>
            </w:pPr>
          </w:p>
        </w:tc>
        <w:tc>
          <w:tcPr>
            <w:tcW w:w="1619" w:type="dxa"/>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sz w:val="32"/>
                <w:szCs w:val="32"/>
                <w:lang w:eastAsia="zh-Hans"/>
              </w:rPr>
            </w:pPr>
          </w:p>
        </w:tc>
        <w:tc>
          <w:tcPr>
            <w:tcW w:w="1876" w:type="dxa"/>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仿宋_GB2312" w:hAnsi="仿宋_GB2312" w:eastAsia="仿宋_GB2312" w:cs="仿宋_GB2312"/>
                <w:b/>
                <w:sz w:val="32"/>
                <w:szCs w:val="32"/>
                <w:lang w:eastAsia="zh-Hans"/>
              </w:rPr>
            </w:pPr>
          </w:p>
        </w:tc>
      </w:tr>
    </w:tbl>
    <w:p>
      <w:pPr>
        <w:keepNext w:val="0"/>
        <w:keepLines w:val="0"/>
        <w:pageBreakBefore w:val="0"/>
        <w:kinsoku/>
        <w:wordWrap/>
        <w:overflowPunct/>
        <w:topLinePunct w:val="0"/>
        <w:autoSpaceDE/>
        <w:autoSpaceDN/>
        <w:bidi w:val="0"/>
        <w:spacing w:line="560" w:lineRule="exact"/>
        <w:ind w:firstLine="640" w:firstLineChars="200"/>
        <w:textAlignment w:val="auto"/>
        <w:outlineLvl w:val="9"/>
        <w:rPr>
          <w:rFonts w:hint="eastAsia" w:ascii="楷体_GB2312" w:hAnsi="楷体_GB2312" w:eastAsia="楷体_GB2312" w:cs="楷体_GB2312"/>
          <w:sz w:val="32"/>
          <w:szCs w:val="32"/>
          <w:lang w:eastAsia="zh-Hans"/>
        </w:rPr>
      </w:pPr>
      <w:r>
        <w:rPr>
          <w:rFonts w:hint="eastAsia" w:ascii="楷体_GB2312" w:hAnsi="楷体_GB2312" w:eastAsia="楷体_GB2312" w:cs="楷体_GB2312"/>
          <w:sz w:val="32"/>
          <w:szCs w:val="32"/>
        </w:rPr>
        <w:t>（三）</w:t>
      </w:r>
      <w:r>
        <w:rPr>
          <w:rFonts w:hint="eastAsia" w:ascii="楷体_GB2312" w:hAnsi="楷体_GB2312" w:eastAsia="楷体_GB2312" w:cs="楷体_GB2312"/>
          <w:sz w:val="32"/>
          <w:szCs w:val="32"/>
          <w:lang w:eastAsia="zh-Hans"/>
        </w:rPr>
        <w:t>编制背景详细说明</w:t>
      </w:r>
    </w:p>
    <w:p>
      <w:pPr>
        <w:keepNext w:val="0"/>
        <w:keepLines w:val="0"/>
        <w:pageBreakBefore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编制人/编制单位应当详细说明编制方法学的意义与有关技术背景，包括：</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 xml:space="preserve">编制目的、编制原则、编制过程，以及数据采集和计算方法选取的考虑； </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方法学编制依托的减排</w:t>
      </w:r>
      <w:r>
        <w:rPr>
          <w:rFonts w:hint="eastAsia" w:ascii="仿宋_GB2312" w:hAnsi="仿宋_GB2312" w:eastAsia="仿宋_GB2312" w:cs="仿宋_GB2312"/>
          <w:sz w:val="32"/>
          <w:szCs w:val="32"/>
          <w:lang w:val="en-US" w:eastAsia="zh-CN"/>
        </w:rPr>
        <w:t>行为</w:t>
      </w:r>
      <w:r>
        <w:rPr>
          <w:rFonts w:hint="eastAsia" w:ascii="仿宋_GB2312" w:hAnsi="仿宋_GB2312" w:eastAsia="仿宋_GB2312" w:cs="仿宋_GB2312"/>
          <w:sz w:val="32"/>
          <w:szCs w:val="32"/>
          <w:lang w:eastAsia="zh-Hans"/>
        </w:rPr>
        <w:t xml:space="preserve">类别、行业和领域背景情况； </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方法学编制依托的减排</w:t>
      </w:r>
      <w:r>
        <w:rPr>
          <w:rFonts w:hint="eastAsia" w:ascii="仿宋_GB2312" w:hAnsi="仿宋_GB2312" w:eastAsia="仿宋_GB2312" w:cs="仿宋_GB2312"/>
          <w:sz w:val="32"/>
          <w:szCs w:val="32"/>
          <w:lang w:val="en-US" w:eastAsia="zh-CN"/>
        </w:rPr>
        <w:t>行为</w:t>
      </w:r>
      <w:r>
        <w:rPr>
          <w:rFonts w:hint="eastAsia" w:ascii="仿宋_GB2312" w:hAnsi="仿宋_GB2312" w:eastAsia="仿宋_GB2312" w:cs="仿宋_GB2312"/>
          <w:sz w:val="32"/>
          <w:szCs w:val="32"/>
          <w:lang w:eastAsia="zh-Hans"/>
        </w:rPr>
        <w:t xml:space="preserve">的减排惠及面、数据质量等情况说明； </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 xml:space="preserve">方法学编制的突破性、前瞻性（如有）； </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 xml:space="preserve">对其他方法学的参考情况说明（如有）； </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对参考文献的说明。</w:t>
      </w:r>
    </w:p>
    <w:p>
      <w:pPr>
        <w:ind w:firstLine="640" w:firstLineChars="200"/>
        <w:outlineLvl w:val="9"/>
        <w:rPr>
          <w:rFonts w:hint="eastAsia" w:ascii="仿宋_GB2312" w:hAnsi="仿宋_GB2312" w:eastAsia="仿宋_GB2312" w:cs="仿宋_GB2312"/>
          <w:sz w:val="32"/>
          <w:szCs w:val="32"/>
          <w:lang w:eastAsia="zh-Hans"/>
        </w:rPr>
      </w:pPr>
    </w:p>
    <w:p>
      <w:pPr>
        <w:ind w:firstLine="640" w:firstLineChars="200"/>
        <w:outlineLvl w:val="9"/>
        <w:rPr>
          <w:rFonts w:hint="eastAsia" w:ascii="仿宋_GB2312" w:hAnsi="仿宋_GB2312" w:eastAsia="仿宋_GB2312" w:cs="仿宋_GB2312"/>
          <w:sz w:val="32"/>
          <w:szCs w:val="32"/>
          <w:lang w:eastAsia="zh-Hans"/>
        </w:rPr>
      </w:pPr>
    </w:p>
    <w:p>
      <w:pPr>
        <w:ind w:firstLine="640" w:firstLineChars="200"/>
        <w:rPr>
          <w:rFonts w:hint="eastAsia" w:ascii="仿宋" w:hAnsi="仿宋" w:eastAsia="仿宋" w:cs="仿宋"/>
          <w:sz w:val="32"/>
          <w:szCs w:val="32"/>
          <w:lang w:eastAsia="zh-Hans"/>
        </w:rPr>
      </w:pPr>
    </w:p>
    <w:p>
      <w:pPr>
        <w:jc w:val="left"/>
        <w:outlineLvl w:val="0"/>
        <w:rPr>
          <w:rFonts w:hint="eastAsia" w:ascii="黑体" w:hAnsi="黑体" w:eastAsia="黑体" w:cs="黑体"/>
          <w:sz w:val="32"/>
          <w:szCs w:val="32"/>
          <w:lang w:eastAsia="zh-CN"/>
        </w:rPr>
        <w:sectPr>
          <w:headerReference r:id="rId4" w:type="default"/>
          <w:footerReference r:id="rId5" w:type="default"/>
          <w:pgSz w:w="11906" w:h="16838"/>
          <w:pgMar w:top="1440" w:right="1800" w:bottom="1440" w:left="1800" w:header="851" w:footer="992" w:gutter="0"/>
          <w:pgNumType w:fmt="numberInDash"/>
          <w:cols w:space="425" w:num="1"/>
          <w:docGrid w:type="lines" w:linePitch="312" w:charSpace="0"/>
        </w:sectPr>
      </w:pPr>
      <w:bookmarkStart w:id="35" w:name="_Toc718"/>
      <w:bookmarkStart w:id="36" w:name="_Toc130915015"/>
    </w:p>
    <w:p>
      <w:pPr>
        <w:jc w:val="left"/>
        <w:outlineLvl w:val="0"/>
        <w:rPr>
          <w:rFonts w:hint="eastAsia" w:ascii="仿宋" w:hAnsi="仿宋" w:eastAsia="仿宋" w:cs="仿宋"/>
          <w:sz w:val="32"/>
          <w:szCs w:val="32"/>
        </w:rPr>
      </w:pPr>
      <w:r>
        <w:rPr>
          <w:rFonts w:hint="eastAsia" w:ascii="黑体" w:hAnsi="黑体" w:eastAsia="黑体" w:cs="黑体"/>
          <w:sz w:val="32"/>
          <w:szCs w:val="32"/>
          <w:lang w:eastAsia="zh-CN"/>
        </w:rPr>
        <w:t>附录</w:t>
      </w:r>
      <w:r>
        <w:rPr>
          <w:rFonts w:hint="eastAsia" w:ascii="黑体" w:hAnsi="黑体" w:eastAsia="黑体" w:cs="黑体"/>
          <w:sz w:val="32"/>
          <w:szCs w:val="32"/>
        </w:rPr>
        <w:t>2</w:t>
      </w:r>
      <w:bookmarkEnd w:id="35"/>
      <w:r>
        <w:rPr>
          <w:rFonts w:hint="eastAsia" w:ascii="黑体" w:hAnsi="黑体" w:eastAsia="黑体" w:cs="黑体"/>
          <w:sz w:val="32"/>
          <w:szCs w:val="32"/>
          <w:lang w:eastAsia="zh-Hans"/>
        </w:rPr>
        <w:t xml:space="preserve"> </w:t>
      </w:r>
      <w:r>
        <w:rPr>
          <w:rFonts w:hint="eastAsia" w:ascii="仿宋" w:hAnsi="仿宋" w:eastAsia="仿宋" w:cs="仿宋"/>
          <w:sz w:val="32"/>
          <w:szCs w:val="32"/>
          <w:lang w:eastAsia="zh-Hans"/>
        </w:rPr>
        <w:t xml:space="preserve"> </w:t>
      </w:r>
    </w:p>
    <w:p>
      <w:pPr>
        <w:jc w:val="center"/>
        <w:outlineLvl w:val="9"/>
        <w:rPr>
          <w:rFonts w:hint="eastAsia" w:ascii="方正小标宋简体" w:hAnsi="方正小标宋简体" w:eastAsia="方正小标宋简体" w:cs="方正小标宋简体"/>
          <w:sz w:val="40"/>
          <w:szCs w:val="40"/>
          <w:lang w:eastAsia="zh-Hans"/>
        </w:rPr>
      </w:pPr>
      <w:r>
        <w:rPr>
          <w:rFonts w:hint="eastAsia" w:ascii="方正小标宋简体" w:hAnsi="方正小标宋简体" w:eastAsia="方正小标宋简体" w:cs="方正小标宋简体"/>
          <w:sz w:val="40"/>
          <w:szCs w:val="40"/>
          <w:lang w:val="en-US" w:eastAsia="zh-CN"/>
        </w:rPr>
        <w:t>南昌</w:t>
      </w:r>
      <w:r>
        <w:rPr>
          <w:rFonts w:hint="eastAsia" w:ascii="方正小标宋简体" w:hAnsi="方正小标宋简体" w:eastAsia="方正小标宋简体" w:cs="方正小标宋简体"/>
          <w:sz w:val="40"/>
          <w:szCs w:val="40"/>
          <w:lang w:eastAsia="zh-Hans"/>
        </w:rPr>
        <w:t>市碳普惠方法学申请表</w:t>
      </w:r>
      <w:bookmarkEnd w:id="36"/>
    </w:p>
    <w:p>
      <w:pPr>
        <w:jc w:val="center"/>
        <w:outlineLvl w:val="9"/>
        <w:rPr>
          <w:rFonts w:hint="eastAsia" w:ascii="仿宋" w:hAnsi="仿宋" w:eastAsia="仿宋" w:cs="仿宋"/>
          <w:sz w:val="32"/>
          <w:szCs w:val="32"/>
        </w:rPr>
      </w:pPr>
    </w:p>
    <w:tbl>
      <w:tblPr>
        <w:tblStyle w:val="14"/>
        <w:tblW w:w="8820" w:type="dxa"/>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625"/>
        <w:gridCol w:w="619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2625"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rPr>
            </w:pPr>
            <w:r>
              <w:rPr>
                <w:rFonts w:hint="eastAsia" w:ascii="仿宋" w:hAnsi="仿宋" w:eastAsia="仿宋" w:cs="仿宋"/>
                <w:sz w:val="28"/>
                <w:szCs w:val="28"/>
              </w:rPr>
              <w:t>申请者名称</w:t>
            </w:r>
          </w:p>
        </w:tc>
        <w:tc>
          <w:tcPr>
            <w:tcW w:w="6195" w:type="dxa"/>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5" w:hRule="atLeast"/>
        </w:trPr>
        <w:tc>
          <w:tcPr>
            <w:tcW w:w="2625"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rPr>
            </w:pPr>
            <w:r>
              <w:rPr>
                <w:rFonts w:hint="eastAsia" w:ascii="仿宋" w:hAnsi="仿宋" w:eastAsia="仿宋" w:cs="仿宋"/>
                <w:sz w:val="28"/>
                <w:szCs w:val="28"/>
              </w:rPr>
              <w:t>申请者类别</w:t>
            </w:r>
          </w:p>
        </w:tc>
        <w:tc>
          <w:tcPr>
            <w:tcW w:w="6195" w:type="dxa"/>
            <w:vAlign w:val="center"/>
          </w:tcPr>
          <w:p>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□行业协会</w:t>
            </w:r>
            <w:r>
              <w:rPr>
                <w:rFonts w:hint="eastAsia" w:ascii="仿宋" w:hAnsi="仿宋" w:eastAsia="仿宋" w:cs="仿宋"/>
                <w:sz w:val="28"/>
                <w:szCs w:val="28"/>
                <w:lang w:val="en-US" w:eastAsia="zh-CN"/>
              </w:rPr>
              <w:t xml:space="preserve">    </w:t>
            </w:r>
            <w:r>
              <w:rPr>
                <w:rFonts w:hint="eastAsia" w:ascii="仿宋" w:hAnsi="仿宋" w:eastAsia="仿宋" w:cs="仿宋"/>
                <w:sz w:val="28"/>
                <w:szCs w:val="28"/>
                <w:lang w:eastAsia="zh-CN"/>
              </w:rPr>
              <w:t>□</w:t>
            </w:r>
            <w:r>
              <w:rPr>
                <w:rFonts w:hint="eastAsia" w:ascii="仿宋" w:hAnsi="仿宋" w:eastAsia="仿宋" w:cs="仿宋"/>
                <w:sz w:val="28"/>
                <w:szCs w:val="28"/>
              </w:rPr>
              <w:t>科研机构      □</w:t>
            </w:r>
            <w:r>
              <w:rPr>
                <w:rFonts w:hint="eastAsia" w:ascii="仿宋" w:hAnsi="仿宋" w:eastAsia="仿宋" w:cs="仿宋"/>
                <w:sz w:val="28"/>
                <w:szCs w:val="28"/>
                <w:lang w:eastAsia="zh-Hans"/>
              </w:rPr>
              <w:t>高等</w:t>
            </w:r>
            <w:r>
              <w:rPr>
                <w:rFonts w:hint="eastAsia" w:ascii="仿宋" w:hAnsi="仿宋" w:eastAsia="仿宋" w:cs="仿宋"/>
                <w:sz w:val="28"/>
                <w:szCs w:val="28"/>
              </w:rPr>
              <w:t>院校</w:t>
            </w:r>
          </w:p>
          <w:p>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u w:val="single"/>
              </w:rPr>
            </w:pPr>
            <w:r>
              <w:rPr>
                <w:rFonts w:hint="eastAsia" w:ascii="仿宋" w:hAnsi="仿宋" w:eastAsia="仿宋" w:cs="仿宋"/>
                <w:sz w:val="28"/>
                <w:szCs w:val="28"/>
                <w:lang w:eastAsia="zh-CN"/>
              </w:rPr>
              <w:t>□</w:t>
            </w:r>
            <w:r>
              <w:rPr>
                <w:rFonts w:hint="eastAsia" w:ascii="仿宋" w:hAnsi="仿宋" w:eastAsia="仿宋" w:cs="仿宋"/>
                <w:sz w:val="28"/>
                <w:szCs w:val="28"/>
              </w:rPr>
              <w:t>企事业单位       □其他</w:t>
            </w:r>
            <w:r>
              <w:rPr>
                <w:rFonts w:hint="eastAsia" w:ascii="仿宋" w:hAnsi="仿宋" w:eastAsia="仿宋" w:cs="仿宋"/>
                <w:sz w:val="28"/>
                <w:szCs w:val="28"/>
                <w:lang w:val="en-US" w:eastAsia="zh-CN"/>
              </w:rPr>
              <w:t>/个人</w:t>
            </w:r>
            <w:r>
              <w:rPr>
                <w:rFonts w:hint="eastAsia" w:ascii="仿宋" w:hAnsi="仿宋" w:eastAsia="仿宋" w:cs="仿宋"/>
                <w:sz w:val="28"/>
                <w:szCs w:val="28"/>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2625"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rPr>
            </w:pPr>
            <w:r>
              <w:rPr>
                <w:rFonts w:hint="eastAsia" w:ascii="仿宋" w:hAnsi="仿宋" w:eastAsia="仿宋" w:cs="仿宋"/>
                <w:sz w:val="28"/>
                <w:szCs w:val="28"/>
              </w:rPr>
              <w:t>方法学名称</w:t>
            </w:r>
          </w:p>
        </w:tc>
        <w:tc>
          <w:tcPr>
            <w:tcW w:w="6195" w:type="dxa"/>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13" w:hRule="atLeast"/>
        </w:trPr>
        <w:tc>
          <w:tcPr>
            <w:tcW w:w="2625"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方法学概述</w:t>
            </w:r>
          </w:p>
        </w:tc>
        <w:tc>
          <w:tcPr>
            <w:tcW w:w="6195" w:type="dxa"/>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820" w:type="dxa"/>
            <w:gridSpan w:val="2"/>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lang w:eastAsia="zh-CN"/>
              </w:rPr>
              <w:t>附录</w:t>
            </w:r>
            <w:r>
              <w:rPr>
                <w:rFonts w:hint="eastAsia" w:ascii="仿宋" w:hAnsi="仿宋" w:eastAsia="仿宋" w:cs="仿宋"/>
                <w:sz w:val="28"/>
                <w:szCs w:val="28"/>
              </w:rPr>
              <w:t>：</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☐方法学</w:t>
            </w:r>
            <w:r>
              <w:rPr>
                <w:rFonts w:hint="eastAsia" w:ascii="仿宋" w:hAnsi="仿宋" w:eastAsia="仿宋" w:cs="仿宋"/>
                <w:sz w:val="28"/>
                <w:szCs w:val="28"/>
                <w:lang w:val="en-US" w:eastAsia="zh-CN"/>
              </w:rPr>
              <w:t>/</w:t>
            </w:r>
            <w:r>
              <w:rPr>
                <w:rFonts w:hint="eastAsia" w:ascii="仿宋" w:hAnsi="仿宋" w:eastAsia="仿宋" w:cs="仿宋"/>
                <w:sz w:val="28"/>
                <w:szCs w:val="28"/>
              </w:rPr>
              <w:t>☐方法学</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修订）</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☐其他支撑材料，</w:t>
            </w:r>
            <w:r>
              <w:rPr>
                <w:rFonts w:hint="eastAsia" w:ascii="仿宋" w:hAnsi="仿宋" w:eastAsia="仿宋" w:cs="仿宋"/>
                <w:sz w:val="28"/>
                <w:szCs w:val="28"/>
                <w:lang w:eastAsia="zh-Hans"/>
              </w:rPr>
              <w:t>如：减排原理概述</w:t>
            </w:r>
            <w:r>
              <w:rPr>
                <w:rFonts w:hint="eastAsia" w:ascii="仿宋" w:hAnsi="仿宋" w:eastAsia="仿宋" w:cs="仿宋"/>
                <w:sz w:val="28"/>
                <w:szCs w:val="28"/>
              </w:rPr>
              <w:t>（可选）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2625"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rPr>
            </w:pPr>
            <w:r>
              <w:rPr>
                <w:rFonts w:hint="eastAsia" w:ascii="仿宋" w:hAnsi="仿宋" w:eastAsia="仿宋" w:cs="仿宋"/>
                <w:sz w:val="28"/>
                <w:szCs w:val="28"/>
              </w:rPr>
              <w:t>联系</w:t>
            </w:r>
            <w:r>
              <w:rPr>
                <w:rFonts w:hint="eastAsia" w:ascii="仿宋" w:hAnsi="仿宋" w:eastAsia="仿宋" w:cs="仿宋"/>
                <w:sz w:val="28"/>
                <w:szCs w:val="28"/>
                <w:lang w:eastAsia="zh-Hans"/>
              </w:rPr>
              <w:t>人</w:t>
            </w:r>
          </w:p>
        </w:tc>
        <w:tc>
          <w:tcPr>
            <w:tcW w:w="6195" w:type="dxa"/>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2625"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lang w:eastAsia="zh-Hans"/>
              </w:rPr>
            </w:pPr>
            <w:r>
              <w:rPr>
                <w:rFonts w:hint="eastAsia" w:ascii="仿宋" w:hAnsi="仿宋" w:eastAsia="仿宋" w:cs="仿宋"/>
                <w:sz w:val="28"/>
                <w:szCs w:val="28"/>
                <w:lang w:eastAsia="zh-Hans"/>
              </w:rPr>
              <w:t>联系电话</w:t>
            </w:r>
          </w:p>
        </w:tc>
        <w:tc>
          <w:tcPr>
            <w:tcW w:w="6195" w:type="dxa"/>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2625"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lang w:eastAsia="zh-Hans"/>
              </w:rPr>
            </w:pPr>
            <w:r>
              <w:rPr>
                <w:rFonts w:hint="eastAsia" w:ascii="仿宋" w:hAnsi="仿宋" w:eastAsia="仿宋" w:cs="仿宋"/>
                <w:sz w:val="28"/>
                <w:szCs w:val="28"/>
                <w:lang w:eastAsia="zh-Hans"/>
              </w:rPr>
              <w:t>电子邮箱</w:t>
            </w:r>
          </w:p>
        </w:tc>
        <w:tc>
          <w:tcPr>
            <w:tcW w:w="6195" w:type="dxa"/>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18" w:hRule="atLeast"/>
        </w:trPr>
        <w:tc>
          <w:tcPr>
            <w:tcW w:w="2625"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rPr>
            </w:pPr>
            <w:r>
              <w:rPr>
                <w:rFonts w:hint="eastAsia" w:ascii="仿宋" w:hAnsi="仿宋" w:eastAsia="仿宋" w:cs="仿宋"/>
                <w:sz w:val="28"/>
                <w:szCs w:val="28"/>
              </w:rPr>
              <w:t>申请者签字（机构盖章/个人签名）及日期（年/月/日）</w:t>
            </w:r>
          </w:p>
        </w:tc>
        <w:tc>
          <w:tcPr>
            <w:tcW w:w="6195" w:type="dxa"/>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p>
        </w:tc>
      </w:tr>
    </w:tbl>
    <w:p>
      <w:pPr>
        <w:pStyle w:val="12"/>
        <w:rPr>
          <w:rFonts w:hint="eastAsia" w:ascii="黑体" w:hAnsi="黑体" w:eastAsia="黑体" w:cs="黑体"/>
          <w:sz w:val="32"/>
          <w:szCs w:val="32"/>
          <w:lang w:val="en-US" w:eastAsia="zh-CN"/>
        </w:rPr>
        <w:sectPr>
          <w:footerReference r:id="rId6" w:type="default"/>
          <w:pgSz w:w="11906" w:h="16838"/>
          <w:pgMar w:top="1431" w:right="1396" w:bottom="1779" w:left="1591" w:header="0" w:footer="1413" w:gutter="0"/>
          <w:pgNumType w:fmt="numberInDash"/>
          <w:cols w:space="720" w:num="1"/>
        </w:sectPr>
      </w:pPr>
    </w:p>
    <w:p>
      <w:pPr>
        <w:pStyle w:val="12"/>
        <w:keepNext w:val="0"/>
        <w:keepLines w:val="0"/>
        <w:pageBreakBefore w:val="0"/>
        <w:widowControl w:val="0"/>
        <w:kinsoku/>
        <w:wordWrap/>
        <w:overflowPunct/>
        <w:topLinePunct w:val="0"/>
        <w:bidi w:val="0"/>
        <w:adjustRightInd/>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r>
        <w:rPr>
          <w:rFonts w:hint="eastAsia" w:hAnsi="黑体" w:eastAsia="黑体" w:cs="黑体"/>
          <w:sz w:val="32"/>
          <w:szCs w:val="32"/>
          <w:lang w:val="en-US" w:eastAsia="zh-CN"/>
        </w:rPr>
        <w:t>3</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南昌市大型活动碳中和工作指引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（征求意见稿）</w:t>
      </w:r>
    </w:p>
    <w:p>
      <w:pPr>
        <w:pStyle w:val="2"/>
        <w:keepNext w:val="0"/>
        <w:keepLines w:val="0"/>
        <w:pageBreakBefore w:val="0"/>
        <w:widowControl w:val="0"/>
        <w:kinsoku/>
        <w:wordWrap/>
        <w:overflowPunct/>
        <w:topLinePunct w:val="0"/>
        <w:bidi w:val="0"/>
        <w:adjustRightInd/>
        <w:snapToGrid/>
        <w:spacing w:before="0" w:line="560" w:lineRule="exact"/>
        <w:ind w:left="0" w:right="0"/>
        <w:jc w:val="both"/>
        <w:textAlignment w:val="auto"/>
        <w:rPr>
          <w:rFonts w:ascii="方正小标宋简体" w:hAnsi="方正小标宋简体" w:eastAsia="方正小标宋简体" w:cs="方正小标宋简体"/>
          <w:b/>
          <w:bCs/>
          <w:spacing w:val="23"/>
          <w:sz w:val="44"/>
          <w:szCs w:val="44"/>
        </w:rPr>
      </w:pPr>
    </w:p>
    <w:p>
      <w:pPr>
        <w:pStyle w:val="1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第一章</w:t>
      </w:r>
      <w:r>
        <w:rPr>
          <w:rFonts w:hint="eastAsia" w:hAnsi="黑体" w:eastAsia="黑体" w:cs="黑体"/>
          <w:sz w:val="32"/>
          <w:szCs w:val="32"/>
          <w:lang w:val="en-US" w:eastAsia="zh-CN"/>
        </w:rPr>
        <w:t xml:space="preserve">  </w:t>
      </w:r>
      <w:r>
        <w:rPr>
          <w:rFonts w:hint="eastAsia" w:ascii="黑体" w:hAnsi="黑体" w:eastAsia="黑体" w:cs="黑体"/>
          <w:sz w:val="32"/>
          <w:szCs w:val="32"/>
          <w:lang w:val="en-US" w:eastAsia="zh-CN"/>
        </w:rPr>
        <w:t>总则</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第一条 【适用范围】本指引适用于指导本市各类大型活动的碳中和工作。其他活动鼓励参照本指引执行。</w:t>
      </w:r>
    </w:p>
    <w:p>
      <w:pPr>
        <w:pStyle w:val="12"/>
        <w:spacing w:line="560" w:lineRule="exact"/>
        <w:ind w:firstLine="640" w:firstLineChars="200"/>
        <w:rPr>
          <w:rFonts w:hint="eastAsia"/>
          <w:lang w:val="en-US" w:eastAsia="zh-CN"/>
        </w:rPr>
      </w:pPr>
      <w:r>
        <w:rPr>
          <w:rFonts w:hint="eastAsia" w:ascii="仿宋_GB2312" w:hAnsi="仿宋_GB2312" w:eastAsia="仿宋_GB2312" w:cs="仿宋_GB2312"/>
          <w:sz w:val="32"/>
          <w:szCs w:val="32"/>
          <w:lang w:val="en-US" w:eastAsia="zh-CN"/>
        </w:rPr>
        <w:t>第二条 【大型活动定义】本指引所称大型活动，是指本市行政区域范围内</w:t>
      </w:r>
      <w:r>
        <w:rPr>
          <w:rFonts w:hint="eastAsia" w:ascii="仿宋_GB2312" w:hAnsi="仿宋_GB2312" w:eastAsia="仿宋_GB2312" w:cs="仿宋_GB2312"/>
          <w:color w:val="C00000"/>
          <w:sz w:val="32"/>
          <w:szCs w:val="32"/>
          <w:lang w:val="en-US" w:eastAsia="zh-CN"/>
        </w:rPr>
        <w:t>参与人数达200人及以上</w:t>
      </w:r>
      <w:r>
        <w:rPr>
          <w:rFonts w:hint="eastAsia" w:ascii="仿宋_GB2312" w:hAnsi="仿宋_GB2312" w:eastAsia="仿宋_GB2312" w:cs="仿宋_GB2312"/>
          <w:sz w:val="32"/>
          <w:szCs w:val="32"/>
          <w:lang w:val="en-US" w:eastAsia="zh-CN"/>
        </w:rPr>
        <w:t>的大型演出、赛事、会议、展览以及其他大型活动。</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第三条 【大型活动碳中和定义】本指引所称大型活动碳中和，是指大型活动在优先实施减排的基础上，针对受技术和经济等因素限制难以避免的温室气体排放量，通过购买或接受捐赠的方式获取碳配额或其他碳减排量，从而抵销其排放量的行为。用于抵销的碳配额或其他碳减排量大于等于大型活动实际产生的排放量时，即界定为该大型活动实现了碳中和。</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第四条 【总体要求】文化艺术演出、</w:t>
      </w:r>
      <w:r>
        <w:rPr>
          <w:rFonts w:hint="eastAsia" w:ascii="仿宋_GB2312" w:hAnsi="仿宋_GB2312" w:eastAsia="仿宋_GB2312" w:cs="仿宋_GB2312"/>
          <w:sz w:val="32"/>
          <w:szCs w:val="32"/>
        </w:rPr>
        <w:t>体育赛事</w:t>
      </w:r>
      <w:r>
        <w:rPr>
          <w:rFonts w:hint="eastAsia" w:ascii="仿宋_GB2312" w:hAnsi="仿宋_GB2312" w:eastAsia="仿宋_GB2312" w:cs="仿宋_GB2312"/>
          <w:sz w:val="32"/>
          <w:szCs w:val="32"/>
          <w:lang w:val="en-US" w:eastAsia="zh-CN"/>
        </w:rPr>
        <w:t>、展会展览等大型活动的主管部门鼓励举办大型活动的机关、企业事业单位、社会团体等组织（以下简称“举办单位”）以及场馆单位、服务单位和参与方等主体按照本指引对大型活动实施碳中和，并主动公开相关信息。鼓励本市机关、事业单位和国有企业举办的大型活动发挥引领示范带动作用，率先主动开展碳中和并列支相关预算。</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第五条 【责任主体】举办单位是大型活动碳中和的责任主体。举办单位可自行开展或委托技术服务机构协助开展碳中和工作。</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第六条 【管理支持】</w:t>
      </w:r>
      <w:r>
        <w:rPr>
          <w:rFonts w:hint="eastAsia" w:ascii="仿宋_GB2312" w:hAnsi="仿宋_GB2312" w:eastAsia="仿宋_GB2312" w:cs="仿宋_GB2312"/>
          <w:sz w:val="32"/>
          <w:szCs w:val="32"/>
          <w:highlight w:val="none"/>
          <w:lang w:val="en-US" w:eastAsia="zh-CN"/>
        </w:rPr>
        <w:t>市生态环境局、市发改委</w:t>
      </w:r>
      <w:r>
        <w:rPr>
          <w:rFonts w:hint="eastAsia" w:ascii="仿宋_GB2312" w:hAnsi="仿宋_GB2312" w:eastAsia="仿宋_GB2312" w:cs="仿宋_GB2312"/>
          <w:sz w:val="32"/>
          <w:szCs w:val="32"/>
          <w:lang w:val="en-US" w:eastAsia="zh-CN"/>
        </w:rPr>
        <w:t>对本市大型活动碳中和全流程工作进行监督管理，南昌碳普惠管理机构（以下简称“南昌碳普惠”）开展平台支持、碳中和项目指导协调等工作。</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第七条 【管理平台】本市大型活动碳中和管理依托“南昌碳普惠”平台（以下简称“管理平台”），以城市数字化转型工具为服务载体，为碳中和活动提供全过程技术支持与服务。</w:t>
      </w:r>
    </w:p>
    <w:p>
      <w:pPr>
        <w:pStyle w:val="1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hAnsi="黑体" w:eastAsia="黑体" w:cs="黑体"/>
          <w:sz w:val="32"/>
          <w:szCs w:val="32"/>
          <w:lang w:val="en-US" w:eastAsia="zh-CN"/>
        </w:rPr>
      </w:pPr>
      <w:r>
        <w:rPr>
          <w:rFonts w:hint="eastAsia" w:hAnsi="黑体" w:eastAsia="黑体" w:cs="黑体"/>
          <w:sz w:val="32"/>
          <w:szCs w:val="32"/>
          <w:lang w:val="en-US" w:eastAsia="zh-CN"/>
        </w:rPr>
        <w:t>第二章  实施流程</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第八条 【实施内容】举办单位实施大型活动碳中和的流程包括制定碳中和实施计划、实施碳减排行动、开展碳排放核算及系统填报、推动碳排放抵销、获取及发布碳中和证书。</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第九条 【碳中和实施计划】在大型活动筹备阶段，举办单位可制定碳中和实施计划，包括活动基本情况（名称、时间、地点、内容等）、减排措施、预估排放量、抵销方式、预期实现碳中和时间等。</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第十条 【碳减排行动】在大型活动筹备及举办阶段，举办单位、场馆单位、服务单位和参与方等主体应根据碳中和实施计划，坚持节约优先、低碳环保的理念，从场地、交通、住宿、餐饮、耗材等方面开展碳减排行动。</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活动筹备阶段，应优先选择绿色出行便于到达的场地，选择绿色低碳场馆，使用低碳能源，采用全生命周期碳足迹更低的耗材或活动组织方式，运用低碳环保的信息化等手段进行宣传推广等。</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活动举办阶段，应采取适当奖励措施鼓励引导活动参与方选择绿色出行等减排行动，提供机场车站接驳服务，减少一次性餐具，应用低碳环保技术等。</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活动收尾阶段，应妥善处理活动产生废弃物，尽可能实现资源化利用等。</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第十一条 【碳排放核算及系统填报】举办单位或其委托的技术服务机构应收集活动筹备、举办、收尾过程中的各类能源消耗、出行、住宿、物资采购与消耗等数据，确保数据可追溯、可核查，出具碳排放评价报告（举办单位自行开展碳中和工作的需委托技术服务机构出具该报告），并利用管理平台开展信息填报（包括数据及相关说明）和附件上传。</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温室气体排放量核算应至少包括举办阶段的排放量</w:t>
      </w:r>
      <w:r>
        <w:rPr>
          <w:rFonts w:hint="eastAsia" w:ascii="仿宋_GB2312" w:hAnsi="仿宋_GB2312" w:eastAsia="仿宋_GB2312" w:cs="仿宋_GB2312"/>
          <w:color w:val="C00000"/>
          <w:sz w:val="32"/>
          <w:szCs w:val="32"/>
          <w:lang w:val="en-US" w:eastAsia="zh-CN"/>
        </w:rPr>
        <w:t>（以下简称“基本范围”）</w:t>
      </w:r>
      <w:r>
        <w:rPr>
          <w:rFonts w:hint="eastAsia" w:ascii="仿宋_GB2312" w:hAnsi="仿宋_GB2312" w:eastAsia="仿宋_GB2312" w:cs="仿宋_GB2312"/>
          <w:sz w:val="32"/>
          <w:szCs w:val="32"/>
          <w:lang w:val="en-US" w:eastAsia="zh-CN"/>
        </w:rPr>
        <w:t>，鼓励包括筹备阶段和收尾阶段的排放量</w:t>
      </w:r>
      <w:r>
        <w:rPr>
          <w:rFonts w:hint="eastAsia" w:ascii="仿宋_GB2312" w:hAnsi="仿宋_GB2312" w:eastAsia="仿宋_GB2312" w:cs="仿宋_GB2312"/>
          <w:color w:val="C00000"/>
          <w:sz w:val="32"/>
          <w:szCs w:val="32"/>
          <w:lang w:val="en-US" w:eastAsia="zh-CN"/>
        </w:rPr>
        <w:t>（以下简称“拓展范围”）</w:t>
      </w:r>
      <w:r>
        <w:rPr>
          <w:rFonts w:hint="eastAsia" w:ascii="仿宋_GB2312" w:hAnsi="仿宋_GB2312" w:eastAsia="仿宋_GB2312" w:cs="仿宋_GB2312"/>
          <w:sz w:val="32"/>
          <w:szCs w:val="32"/>
          <w:lang w:val="en-US" w:eastAsia="zh-CN"/>
        </w:rPr>
        <w:t>。核算范围应至少包括</w:t>
      </w:r>
      <w:r>
        <w:rPr>
          <w:rFonts w:hint="eastAsia" w:ascii="仿宋_GB2312" w:hAnsi="仿宋_GB2312" w:eastAsia="仿宋_GB2312" w:cs="仿宋_GB2312"/>
          <w:sz w:val="32"/>
          <w:szCs w:val="32"/>
          <w:lang w:eastAsia="zh-Hans"/>
        </w:rPr>
        <w:t>指</w:t>
      </w:r>
      <w:r>
        <w:rPr>
          <w:rFonts w:hint="eastAsia" w:ascii="仿宋_GB2312" w:hAnsi="仿宋_GB2312" w:eastAsia="仿宋_GB2312" w:cs="仿宋_GB2312"/>
          <w:sz w:val="32"/>
          <w:szCs w:val="32"/>
          <w:lang w:val="en-US" w:eastAsia="zh-CN"/>
        </w:rPr>
        <w:t>引规定的基本范围，鼓励包括拓展范围。活动水平相关参数和排放因子优先采用实测值，其次采用管理平台提供的缺省值。</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管理机构基于填报内容及抵销情况颁发大型活动碳中和证书。</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第十二条 【碳排放抵销】为抵销大型活动产生的温室气体排放量，举办单位或其委托的技术服务机构应通过购买或接受捐赠的方式，获取碳配额或其他碳减排量，以实现碳中和。</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抵销基本范围的排放量，可称为基本碳中和；抵销全部范围（包括基本及拓展范围）的排放量，可称为全口径碳中和。</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举办单位或其委托的技术服务机构可选择购买</w:t>
      </w:r>
      <w:r>
        <w:rPr>
          <w:rFonts w:hint="eastAsia" w:ascii="仿宋_GB2312" w:hAnsi="仿宋_GB2312" w:eastAsia="仿宋_GB2312" w:cs="仿宋_GB2312"/>
          <w:color w:val="C00000"/>
          <w:sz w:val="32"/>
          <w:szCs w:val="32"/>
          <w:lang w:val="en-US" w:eastAsia="zh-CN"/>
        </w:rPr>
        <w:t>南昌市碳普惠核证减排量、国家核证自愿减排量（CCER）、全国碳排放权交易体系的碳配额或经主管部门认可的其他碳减排量，鼓励使用南昌市碳普惠核证减排量</w:t>
      </w:r>
      <w:r>
        <w:rPr>
          <w:rFonts w:hint="eastAsia" w:ascii="仿宋_GB2312" w:hAnsi="仿宋_GB2312" w:eastAsia="仿宋_GB2312" w:cs="仿宋_GB2312"/>
          <w:sz w:val="32"/>
          <w:szCs w:val="32"/>
          <w:lang w:val="en-US" w:eastAsia="zh-CN"/>
        </w:rPr>
        <w:t>的抵销方式进行碳中和</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已使用的碳配额或碳减排量应在相应的注册登记机构注销，并提供注销证明。</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鼓励企业、机构或个人通过捐赠</w:t>
      </w:r>
      <w:r>
        <w:rPr>
          <w:rFonts w:hint="eastAsia" w:ascii="仿宋_GB2312" w:hAnsi="仿宋_GB2312" w:eastAsia="仿宋_GB2312" w:cs="仿宋_GB2312"/>
          <w:color w:val="C00000"/>
          <w:sz w:val="32"/>
          <w:szCs w:val="32"/>
          <w:lang w:val="en-US" w:eastAsia="zh-CN"/>
        </w:rPr>
        <w:t>南昌市</w:t>
      </w:r>
      <w:r>
        <w:rPr>
          <w:rFonts w:hint="eastAsia" w:ascii="仿宋_GB2312" w:hAnsi="仿宋_GB2312" w:eastAsia="仿宋_GB2312" w:cs="仿宋_GB2312"/>
          <w:sz w:val="32"/>
          <w:szCs w:val="32"/>
          <w:lang w:val="en-US" w:eastAsia="zh-CN"/>
        </w:rPr>
        <w:t>碳普惠减排量、</w:t>
      </w:r>
      <w:r>
        <w:rPr>
          <w:rFonts w:hint="eastAsia" w:ascii="仿宋_GB2312" w:hAnsi="仿宋_GB2312" w:eastAsia="仿宋_GB2312" w:cs="仿宋_GB2312"/>
          <w:color w:val="C00000"/>
          <w:sz w:val="32"/>
          <w:szCs w:val="32"/>
          <w:lang w:val="en-US" w:eastAsia="zh-CN"/>
        </w:rPr>
        <w:t>国家核证自愿减排量（CCER）</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C00000"/>
          <w:sz w:val="32"/>
          <w:szCs w:val="32"/>
          <w:lang w:val="en-US" w:eastAsia="zh-CN"/>
        </w:rPr>
        <w:t>全国碳排放权交易体系的碳配额</w:t>
      </w:r>
      <w:r>
        <w:rPr>
          <w:rFonts w:hint="eastAsia" w:ascii="仿宋_GB2312" w:hAnsi="仿宋_GB2312" w:eastAsia="仿宋_GB2312" w:cs="仿宋_GB2312"/>
          <w:sz w:val="32"/>
          <w:szCs w:val="32"/>
          <w:lang w:val="en-US" w:eastAsia="zh-CN"/>
        </w:rPr>
        <w:t>等方式，支持大型活动碳中和。大型活动碳中和的完成时间原则上不晚于大型活动结束后一年内。</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第十三条 【碳中和证书】管理机构根据技术服务机构出具的客观评价结论，确认活动符合本指引要求后，为举办单位颁发大型活动碳中和证书，并在管理平台发布。</w:t>
      </w:r>
    </w:p>
    <w:p>
      <w:pPr>
        <w:pStyle w:val="1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hAnsi="黑体" w:eastAsia="黑体" w:cs="黑体"/>
          <w:sz w:val="32"/>
          <w:szCs w:val="32"/>
          <w:lang w:val="en-US" w:eastAsia="zh-CN"/>
        </w:rPr>
      </w:pPr>
      <w:r>
        <w:rPr>
          <w:rFonts w:hint="eastAsia" w:hAnsi="黑体" w:eastAsia="黑体" w:cs="黑体"/>
          <w:sz w:val="32"/>
          <w:szCs w:val="32"/>
          <w:lang w:val="en-US" w:eastAsia="zh-CN"/>
        </w:rPr>
        <w:t>第三章  监督、激励和管理</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第十四条 【举办单位责任】举办单位应保存相关数据、附件材料、实施报告、抵销量注销证明等文件，并对信息真实性负责。发现有弄虚作假等情况的，管理平台应撤销其碳中和证书，并发布公告。</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第十五条 【技术服务机构责任】技术服务机构应具备相应的技术能力，建立业务质量管理制度，独立、客观、公正开展相关业务。</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技术服务机构应对其出具的大型活动碳中和实施报告或评价报告承担相应责任，不得使用虚假的数据资料或实施其他弄虚作假行为，报告不得存在重大缺陷或遗漏，不得泄露在服务过程中掌握的相关信息、数据。</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发现技术服务机构违反前款规定的，管理平台可撤销其碳中和证书，并发布公告。</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第十六条 【公众监督】鼓励社会公众对本市大型活动碳中的体系建设及大型活动碳中和过程进行监督。</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第十七条 【激励措施】推动大型活动碳中和相关信息在金融、信用等领域应用，对开展高质量碳中和并在管理平台发布碳中和证书的大型活动举办单位在政策支持、信用评价、金融支持等方面予以优先考虑。鼓励金融机构开发基于大型活动碳中和的各类金融产品和服务，充分发挥金融对低碳领域发展的引导和支持作用。</w:t>
      </w:r>
    </w:p>
    <w:p>
      <w:pPr>
        <w:pStyle w:val="1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hAnsi="黑体" w:eastAsia="黑体" w:cs="黑体"/>
          <w:sz w:val="32"/>
          <w:szCs w:val="32"/>
          <w:lang w:val="en-US" w:eastAsia="zh-CN"/>
        </w:rPr>
      </w:pPr>
      <w:r>
        <w:rPr>
          <w:rFonts w:hint="eastAsia" w:hAnsi="黑体" w:eastAsia="黑体" w:cs="黑体"/>
          <w:sz w:val="32"/>
          <w:szCs w:val="32"/>
          <w:lang w:val="en-US" w:eastAsia="zh-CN"/>
        </w:rPr>
        <w:t>第四章  其他说明</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第十八条 【文件更新】市生态环境局可适时对本指引及本市大型活动碳中和的其他政策文件进行修订。政策文件版本有更新的，应按照最新要求执行。</w:t>
      </w:r>
    </w:p>
    <w:p>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第十九条 【其他】大型活动举办单位应严格执行国家和省、市相关法律法规、标准和技术规范等要求。本指引未尽事宜，按相关法律法规和规章规定执行。</w:t>
      </w:r>
    </w:p>
    <w:p>
      <w:pPr>
        <w:rPr>
          <w:rFonts w:hint="eastAsia" w:asciiTheme="minorHAnsi" w:hAnsiTheme="minorHAnsi" w:eastAsiaTheme="minorEastAsia" w:cstheme="minorBidi"/>
          <w:sz w:val="21"/>
          <w:szCs w:val="22"/>
          <w:lang w:val="en-US" w:eastAsia="zh-CN"/>
        </w:rPr>
      </w:pPr>
      <w:r>
        <w:rPr>
          <w:rFonts w:hint="eastAsia" w:asciiTheme="minorHAnsi" w:hAnsiTheme="minorHAnsi" w:eastAsiaTheme="minorEastAsia" w:cstheme="minorBidi"/>
          <w:sz w:val="21"/>
          <w:szCs w:val="22"/>
          <w:lang w:val="en-US" w:eastAsia="zh-CN"/>
        </w:rPr>
        <w:br w:type="page"/>
      </w:r>
    </w:p>
    <w:p>
      <w:pPr>
        <w:jc w:val="left"/>
        <w:rPr>
          <w:rFonts w:hint="eastAsia" w:ascii="黑体" w:hAnsi="黑体" w:eastAsia="黑体" w:cs="黑体"/>
          <w:sz w:val="32"/>
          <w:szCs w:val="32"/>
          <w:lang w:eastAsia="zh-CN"/>
        </w:rPr>
      </w:pPr>
      <w:r>
        <w:rPr>
          <w:rFonts w:hint="eastAsia" w:ascii="黑体" w:hAnsi="黑体" w:eastAsia="黑体" w:cs="黑体"/>
          <w:sz w:val="32"/>
          <w:szCs w:val="32"/>
          <w:lang w:eastAsia="zh-CN"/>
        </w:rPr>
        <w:t>附录</w:t>
      </w:r>
      <w:r>
        <w:rPr>
          <w:rFonts w:hint="eastAsia" w:ascii="黑体" w:hAnsi="黑体" w:eastAsia="黑体" w:cs="黑体"/>
          <w:sz w:val="32"/>
          <w:szCs w:val="32"/>
          <w:lang w:val="en-US" w:eastAsia="zh-CN"/>
        </w:rPr>
        <w:t>1</w:t>
      </w:r>
    </w:p>
    <w:p>
      <w:pPr>
        <w:jc w:val="center"/>
        <w:rPr>
          <w:rFonts w:hint="eastAsia" w:asciiTheme="minorEastAsia" w:hAnsiTheme="minorEastAsia" w:cstheme="minorEastAsia"/>
          <w:b/>
          <w:bCs/>
          <w:kern w:val="0"/>
          <w:sz w:val="28"/>
          <w:szCs w:val="28"/>
          <w:lang w:bidi="ar"/>
        </w:rPr>
      </w:pPr>
      <w:r>
        <w:rPr>
          <w:rFonts w:hint="eastAsia" w:asciiTheme="minorEastAsia" w:hAnsiTheme="minorEastAsia" w:cstheme="minorEastAsia"/>
          <w:b/>
          <w:bCs/>
          <w:kern w:val="0"/>
          <w:sz w:val="28"/>
          <w:szCs w:val="28"/>
          <w:lang w:val="en-US" w:eastAsia="zh-CN" w:bidi="ar"/>
        </w:rPr>
        <w:t>大型活动碳中和</w:t>
      </w:r>
      <w:r>
        <w:rPr>
          <w:rFonts w:hint="eastAsia" w:asciiTheme="minorEastAsia" w:hAnsiTheme="minorEastAsia" w:cstheme="minorEastAsia"/>
          <w:b/>
          <w:bCs/>
          <w:kern w:val="0"/>
          <w:sz w:val="28"/>
          <w:szCs w:val="28"/>
          <w:lang w:bidi="ar"/>
        </w:rPr>
        <w:t>流程</w:t>
      </w:r>
    </w:p>
    <w:p>
      <w:pPr>
        <w:keepLines w:val="0"/>
        <w:pageBreakBefore w:val="0"/>
        <w:kinsoku/>
        <w:wordWrap/>
        <w:overflowPunct/>
        <w:topLinePunct w:val="0"/>
        <w:bidi w:val="0"/>
        <w:adjustRightInd/>
        <w:snapToGrid/>
        <w:spacing w:line="560" w:lineRule="exact"/>
        <w:textAlignment w:val="auto"/>
      </w:pPr>
      <w:r>
        <w:rPr>
          <w:sz w:val="24"/>
        </w:rPr>
        <mc:AlternateContent>
          <mc:Choice Requires="wpg">
            <w:drawing>
              <wp:anchor distT="0" distB="0" distL="114300" distR="114300" simplePos="0" relativeHeight="251661312" behindDoc="0" locked="0" layoutInCell="1" allowOverlap="1">
                <wp:simplePos x="0" y="0"/>
                <wp:positionH relativeFrom="column">
                  <wp:posOffset>-62230</wp:posOffset>
                </wp:positionH>
                <wp:positionV relativeFrom="paragraph">
                  <wp:posOffset>114935</wp:posOffset>
                </wp:positionV>
                <wp:extent cx="5723890" cy="7697470"/>
                <wp:effectExtent l="4445" t="4445" r="5715" b="13335"/>
                <wp:wrapNone/>
                <wp:docPr id="109" name="组合 109"/>
                <wp:cNvGraphicFramePr/>
                <a:graphic xmlns:a="http://schemas.openxmlformats.org/drawingml/2006/main">
                  <a:graphicData uri="http://schemas.microsoft.com/office/word/2010/wordprocessingGroup">
                    <wpg:wgp>
                      <wpg:cNvGrpSpPr/>
                      <wpg:grpSpPr>
                        <a:xfrm>
                          <a:off x="0" y="0"/>
                          <a:ext cx="5723890" cy="7697470"/>
                          <a:chOff x="19025" y="20448"/>
                          <a:chExt cx="9014" cy="12122"/>
                        </a:xfrm>
                      </wpg:grpSpPr>
                      <wps:wsp>
                        <wps:cNvPr id="92" name="文本框 2"/>
                        <wps:cNvSpPr txBox="1"/>
                        <wps:spPr>
                          <a:xfrm>
                            <a:off x="23532" y="22266"/>
                            <a:ext cx="4207" cy="4348"/>
                          </a:xfrm>
                          <a:prstGeom prst="rect">
                            <a:avLst/>
                          </a:prstGeom>
                          <a:solidFill>
                            <a:schemeClr val="lt1"/>
                          </a:solidFill>
                          <a:ln w="6350">
                            <a:solidFill>
                              <a:prstClr val="black"/>
                            </a:solidFill>
                          </a:ln>
                        </wps:spPr>
                        <wps:txbx>
                          <w:txbxContent>
                            <w:p>
                              <w:pPr>
                                <w:jc w:val="center"/>
                                <w:rPr>
                                  <w:rFonts w:hint="eastAsia" w:eastAsiaTheme="minorEastAsia"/>
                                  <w:b/>
                                  <w:bCs/>
                                  <w:lang w:eastAsia="zh-CN"/>
                                </w:rPr>
                              </w:pPr>
                              <w:r>
                                <w:rPr>
                                  <w:rFonts w:hint="eastAsia"/>
                                  <w:b/>
                                  <w:bCs/>
                                </w:rPr>
                                <w:t>委托技术服务机构协助开展</w:t>
                              </w:r>
                              <w:r>
                                <w:rPr>
                                  <w:rFonts w:hint="eastAsia"/>
                                  <w:b/>
                                  <w:bCs/>
                                  <w:lang w:val="en-GB"/>
                                </w:rPr>
                                <w:t>碳中和</w:t>
                              </w:r>
                              <w:r>
                                <w:rPr>
                                  <w:rFonts w:hint="eastAsia"/>
                                  <w:b/>
                                  <w:bCs/>
                                  <w:lang w:val="en-US" w:eastAsia="zh-CN"/>
                                </w:rPr>
                                <w:t>工作</w:t>
                              </w:r>
                            </w:p>
                            <w:p>
                              <w:pPr>
                                <w:jc w:val="center"/>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1" name="文本框 23"/>
                        <wps:cNvSpPr txBox="1"/>
                        <wps:spPr>
                          <a:xfrm>
                            <a:off x="24355" y="25447"/>
                            <a:ext cx="2885" cy="567"/>
                          </a:xfrm>
                          <a:prstGeom prst="rect">
                            <a:avLst/>
                          </a:prstGeom>
                          <a:solidFill>
                            <a:schemeClr val="lt1"/>
                          </a:solidFill>
                          <a:ln w="6350">
                            <a:solidFill>
                              <a:prstClr val="black"/>
                            </a:solidFill>
                          </a:ln>
                        </wps:spPr>
                        <wps:txbx>
                          <w:txbxContent>
                            <w:p>
                              <w:pPr>
                                <w:jc w:val="center"/>
                                <w:rPr>
                                  <w:rFonts w:hint="default" w:eastAsiaTheme="minorEastAsia"/>
                                  <w:b/>
                                  <w:bCs/>
                                  <w:lang w:val="en-US" w:eastAsia="zh-CN"/>
                                </w:rPr>
                              </w:pPr>
                              <w:r>
                                <w:rPr>
                                  <w:rFonts w:hint="eastAsia"/>
                                  <w:b/>
                                  <w:bCs/>
                                  <w:lang w:val="en-US" w:eastAsia="zh-CN"/>
                                </w:rPr>
                                <w:t>碳排放评价报告</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0" name="直接箭头连接符 27"/>
                        <wps:cNvCnPr/>
                        <wps:spPr>
                          <a:xfrm>
                            <a:off x="25798" y="23827"/>
                            <a:ext cx="0" cy="61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3" name="文本框 23"/>
                        <wps:cNvSpPr txBox="1"/>
                        <wps:spPr>
                          <a:xfrm>
                            <a:off x="24363" y="23393"/>
                            <a:ext cx="2869" cy="567"/>
                          </a:xfrm>
                          <a:prstGeom prst="rect">
                            <a:avLst/>
                          </a:prstGeom>
                          <a:solidFill>
                            <a:schemeClr val="lt1"/>
                          </a:solidFill>
                          <a:ln w="6350">
                            <a:solidFill>
                              <a:prstClr val="black"/>
                            </a:solidFill>
                          </a:ln>
                        </wps:spPr>
                        <wps:txbx>
                          <w:txbxContent>
                            <w:p>
                              <w:pPr>
                                <w:jc w:val="center"/>
                                <w:rPr>
                                  <w:rFonts w:hint="eastAsia"/>
                                  <w:b/>
                                  <w:bCs/>
                                  <w:lang w:val="en-GB"/>
                                </w:rPr>
                              </w:pPr>
                              <w:r>
                                <w:rPr>
                                  <w:rFonts w:hint="eastAsia"/>
                                  <w:b/>
                                  <w:bCs/>
                                  <w:lang w:val="en-GB"/>
                                </w:rPr>
                                <w:t>碳中和实施计划</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5" name="直接箭头连接符 27"/>
                        <wps:cNvCnPr/>
                        <wps:spPr>
                          <a:xfrm>
                            <a:off x="25798" y="24828"/>
                            <a:ext cx="0" cy="61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4" name="文本框 23"/>
                        <wps:cNvSpPr txBox="1"/>
                        <wps:spPr>
                          <a:xfrm>
                            <a:off x="24363" y="24420"/>
                            <a:ext cx="2869" cy="567"/>
                          </a:xfrm>
                          <a:prstGeom prst="rect">
                            <a:avLst/>
                          </a:prstGeom>
                          <a:solidFill>
                            <a:schemeClr val="lt1"/>
                          </a:solidFill>
                          <a:ln w="6350">
                            <a:solidFill>
                              <a:prstClr val="black"/>
                            </a:solidFill>
                          </a:ln>
                        </wps:spPr>
                        <wps:txbx>
                          <w:txbxContent>
                            <w:p>
                              <w:pPr>
                                <w:jc w:val="center"/>
                                <w:rPr>
                                  <w:rFonts w:hint="eastAsia"/>
                                  <w:b/>
                                  <w:bCs/>
                                  <w:lang w:val="en-GB"/>
                                </w:rPr>
                              </w:pPr>
                              <w:r>
                                <w:rPr>
                                  <w:rFonts w:hint="eastAsia"/>
                                  <w:b/>
                                  <w:bCs/>
                                  <w:lang w:val="en-GB"/>
                                </w:rPr>
                                <w:t>碳减排措施</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7" name="矩形 22"/>
                        <wps:cNvSpPr/>
                        <wps:spPr>
                          <a:xfrm>
                            <a:off x="19025" y="20448"/>
                            <a:ext cx="9015" cy="12123"/>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31465323" name="文本框 2"/>
                        <wps:cNvSpPr txBox="1"/>
                        <wps:spPr>
                          <a:xfrm>
                            <a:off x="19326" y="22266"/>
                            <a:ext cx="4209" cy="4348"/>
                          </a:xfrm>
                          <a:prstGeom prst="rect">
                            <a:avLst/>
                          </a:prstGeom>
                          <a:solidFill>
                            <a:schemeClr val="lt1"/>
                          </a:solidFill>
                          <a:ln w="6350">
                            <a:solidFill>
                              <a:prstClr val="black"/>
                            </a:solidFill>
                          </a:ln>
                        </wps:spPr>
                        <wps:txbx>
                          <w:txbxContent>
                            <w:p>
                              <w:pPr>
                                <w:jc w:val="center"/>
                                <w:rPr>
                                  <w:rFonts w:hint="eastAsia" w:eastAsiaTheme="minorEastAsia"/>
                                  <w:b/>
                                  <w:bCs/>
                                  <w:lang w:eastAsia="zh-CN"/>
                                </w:rPr>
                              </w:pPr>
                              <w:r>
                                <w:rPr>
                                  <w:rFonts w:hint="eastAsia"/>
                                  <w:b/>
                                  <w:bCs/>
                                </w:rPr>
                                <w:t>举办单位自行开展</w:t>
                              </w:r>
                              <w:r>
                                <w:rPr>
                                  <w:rFonts w:hint="eastAsia"/>
                                  <w:b/>
                                  <w:bCs/>
                                  <w:lang w:val="en-GB"/>
                                </w:rPr>
                                <w:t>碳中和</w:t>
                              </w:r>
                              <w:r>
                                <w:rPr>
                                  <w:rFonts w:hint="eastAsia"/>
                                  <w:b/>
                                  <w:bCs/>
                                  <w:lang w:val="en-US" w:eastAsia="zh-CN"/>
                                </w:rPr>
                                <w:t>工作</w:t>
                              </w:r>
                            </w:p>
                            <w:p>
                              <w:pPr>
                                <w:jc w:val="center"/>
                                <w:rPr>
                                  <w:rFonts w:hint="default" w:eastAsiaTheme="minorEastAsia"/>
                                  <w:sz w:val="20"/>
                                  <w:szCs w:val="22"/>
                                  <w:lang w:val="en-US" w:eastAsia="zh-CN"/>
                                </w:rPr>
                              </w:pPr>
                              <w:r>
                                <w:rPr>
                                  <w:rFonts w:hint="eastAsia"/>
                                  <w:sz w:val="20"/>
                                  <w:szCs w:val="22"/>
                                  <w:lang w:val="en-US" w:eastAsia="zh-CN"/>
                                </w:rPr>
                                <w:t>*需委托技术服务机构出具碳排放评价报告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2" name="文本框 23"/>
                        <wps:cNvSpPr txBox="1"/>
                        <wps:spPr>
                          <a:xfrm>
                            <a:off x="19988" y="25428"/>
                            <a:ext cx="2885" cy="567"/>
                          </a:xfrm>
                          <a:prstGeom prst="rect">
                            <a:avLst/>
                          </a:prstGeom>
                          <a:solidFill>
                            <a:schemeClr val="lt1"/>
                          </a:solidFill>
                          <a:ln w="6350">
                            <a:solidFill>
                              <a:prstClr val="black"/>
                            </a:solidFill>
                          </a:ln>
                        </wps:spPr>
                        <wps:txbx>
                          <w:txbxContent>
                            <w:p>
                              <w:pPr>
                                <w:jc w:val="center"/>
                                <w:rPr>
                                  <w:rFonts w:hint="default" w:eastAsiaTheme="minorEastAsia"/>
                                  <w:b/>
                                  <w:bCs/>
                                  <w:lang w:val="en-US" w:eastAsia="zh-CN"/>
                                </w:rPr>
                              </w:pPr>
                              <w:r>
                                <w:rPr>
                                  <w:rFonts w:hint="eastAsia"/>
                                  <w:b/>
                                  <w:bCs/>
                                  <w:lang w:val="en-GB"/>
                                </w:rPr>
                                <w:t>第三方</w:t>
                              </w:r>
                              <w:r>
                                <w:rPr>
                                  <w:rFonts w:hint="eastAsia"/>
                                  <w:b/>
                                  <w:bCs/>
                                  <w:lang w:val="en-US" w:eastAsia="zh-CN"/>
                                </w:rPr>
                                <w:t>碳排放评价报告</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3" name="直接箭头连接符 27"/>
                        <wps:cNvCnPr>
                          <a:stCxn id="78" idx="2"/>
                          <a:endCxn id="79" idx="0"/>
                        </wps:cNvCnPr>
                        <wps:spPr>
                          <a:xfrm>
                            <a:off x="21431" y="23941"/>
                            <a:ext cx="0" cy="4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8" name="文本框 23"/>
                        <wps:cNvSpPr txBox="1"/>
                        <wps:spPr>
                          <a:xfrm>
                            <a:off x="19996" y="23374"/>
                            <a:ext cx="2869" cy="567"/>
                          </a:xfrm>
                          <a:prstGeom prst="rect">
                            <a:avLst/>
                          </a:prstGeom>
                          <a:solidFill>
                            <a:schemeClr val="lt1"/>
                          </a:solidFill>
                          <a:ln w="6350">
                            <a:solidFill>
                              <a:prstClr val="black"/>
                            </a:solidFill>
                          </a:ln>
                        </wps:spPr>
                        <wps:txbx>
                          <w:txbxContent>
                            <w:p>
                              <w:pPr>
                                <w:jc w:val="center"/>
                                <w:rPr>
                                  <w:rFonts w:hint="eastAsia"/>
                                  <w:b/>
                                  <w:bCs/>
                                  <w:lang w:val="en-GB"/>
                                </w:rPr>
                              </w:pPr>
                              <w:r>
                                <w:rPr>
                                  <w:rFonts w:hint="eastAsia"/>
                                  <w:b/>
                                  <w:bCs/>
                                  <w:lang w:val="en-GB"/>
                                </w:rPr>
                                <w:t>碳中和实施计划</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7" name="直接箭头连接符 27"/>
                        <wps:cNvCnPr>
                          <a:stCxn id="79" idx="2"/>
                          <a:endCxn id="72" idx="0"/>
                        </wps:cNvCnPr>
                        <wps:spPr>
                          <a:xfrm>
                            <a:off x="21431" y="24968"/>
                            <a:ext cx="0" cy="4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9" name="文本框 23"/>
                        <wps:cNvSpPr txBox="1"/>
                        <wps:spPr>
                          <a:xfrm>
                            <a:off x="19996" y="24401"/>
                            <a:ext cx="2869" cy="567"/>
                          </a:xfrm>
                          <a:prstGeom prst="rect">
                            <a:avLst/>
                          </a:prstGeom>
                          <a:solidFill>
                            <a:schemeClr val="lt1"/>
                          </a:solidFill>
                          <a:ln w="6350">
                            <a:solidFill>
                              <a:prstClr val="black"/>
                            </a:solidFill>
                          </a:ln>
                        </wps:spPr>
                        <wps:txbx>
                          <w:txbxContent>
                            <w:p>
                              <w:pPr>
                                <w:jc w:val="center"/>
                                <w:rPr>
                                  <w:rFonts w:hint="eastAsia"/>
                                  <w:b/>
                                  <w:bCs/>
                                  <w:lang w:val="en-GB"/>
                                </w:rPr>
                              </w:pPr>
                              <w:r>
                                <w:rPr>
                                  <w:rFonts w:hint="eastAsia"/>
                                  <w:b/>
                                  <w:bCs/>
                                  <w:lang w:val="en-GB"/>
                                </w:rPr>
                                <w:t>碳减排措施</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6" name="直接箭头连接符 27"/>
                        <wps:cNvCnPr/>
                        <wps:spPr>
                          <a:xfrm>
                            <a:off x="23533" y="21635"/>
                            <a:ext cx="0" cy="61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0" name="文本框 25"/>
                        <wps:cNvSpPr txBox="1"/>
                        <wps:spPr>
                          <a:xfrm>
                            <a:off x="23496" y="28853"/>
                            <a:ext cx="1279" cy="536"/>
                          </a:xfrm>
                          <a:prstGeom prst="rect">
                            <a:avLst/>
                          </a:prstGeom>
                          <a:noFill/>
                          <a:ln w="6350">
                            <a:noFill/>
                          </a:ln>
                        </wps:spPr>
                        <wps:txbx>
                          <w:txbxContent>
                            <w:p>
                              <w:pPr>
                                <w:rPr>
                                  <w:rFonts w:hint="eastAsia"/>
                                  <w:sz w:val="18"/>
                                  <w:szCs w:val="18"/>
                                </w:rPr>
                              </w:pPr>
                              <w:r>
                                <w:rPr>
                                  <w:rFonts w:hint="eastAsia"/>
                                  <w:sz w:val="18"/>
                                  <w:szCs w:val="18"/>
                                </w:rPr>
                                <w:t>核验抵消</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71" name="文本框 23"/>
                        <wps:cNvSpPr txBox="1"/>
                        <wps:spPr>
                          <a:xfrm>
                            <a:off x="22098" y="20682"/>
                            <a:ext cx="2869" cy="953"/>
                          </a:xfrm>
                          <a:prstGeom prst="rect">
                            <a:avLst/>
                          </a:prstGeom>
                          <a:solidFill>
                            <a:schemeClr val="lt1"/>
                          </a:solidFill>
                          <a:ln w="6350">
                            <a:solidFill>
                              <a:prstClr val="black"/>
                            </a:solidFill>
                          </a:ln>
                        </wps:spPr>
                        <wps:txbx>
                          <w:txbxContent>
                            <w:p>
                              <w:pPr>
                                <w:jc w:val="center"/>
                                <w:rPr>
                                  <w:rFonts w:hint="eastAsia"/>
                                  <w:b/>
                                  <w:bCs/>
                                </w:rPr>
                              </w:pPr>
                              <w:r>
                                <w:rPr>
                                  <w:rFonts w:hint="eastAsia"/>
                                  <w:b/>
                                  <w:bCs/>
                                  <w:lang w:val="en-GB"/>
                                </w:rPr>
                                <w:t>大型碳中和活动</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73" name="直接箭头连接符 27"/>
                        <wps:cNvCnPr>
                          <a:stCxn id="88" idx="2"/>
                          <a:endCxn id="69" idx="0"/>
                        </wps:cNvCnPr>
                        <wps:spPr>
                          <a:xfrm>
                            <a:off x="23533" y="31143"/>
                            <a:ext cx="0" cy="51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4" name="直接箭头连接符 27"/>
                        <wps:cNvCnPr>
                          <a:stCxn id="81" idx="2"/>
                          <a:endCxn id="68" idx="0"/>
                        </wps:cNvCnPr>
                        <wps:spPr>
                          <a:xfrm>
                            <a:off x="23533" y="27720"/>
                            <a:ext cx="0" cy="51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1" name="文本框 23"/>
                        <wps:cNvSpPr txBox="1"/>
                        <wps:spPr>
                          <a:xfrm>
                            <a:off x="22098" y="27096"/>
                            <a:ext cx="2869" cy="624"/>
                          </a:xfrm>
                          <a:prstGeom prst="rect">
                            <a:avLst/>
                          </a:prstGeom>
                          <a:solidFill>
                            <a:schemeClr val="lt1"/>
                          </a:solidFill>
                          <a:ln w="6350">
                            <a:solidFill>
                              <a:prstClr val="black"/>
                            </a:solidFill>
                          </a:ln>
                        </wps:spPr>
                        <wps:txbx>
                          <w:txbxContent>
                            <w:p>
                              <w:pPr>
                                <w:jc w:val="center"/>
                                <w:rPr>
                                  <w:rFonts w:hint="eastAsia"/>
                                  <w:b/>
                                  <w:bCs/>
                                </w:rPr>
                              </w:pPr>
                              <w:r>
                                <w:rPr>
                                  <w:rFonts w:hint="eastAsia"/>
                                  <w:b/>
                                  <w:bCs/>
                                  <w:lang w:val="en-US" w:eastAsia="zh-CN"/>
                                </w:rPr>
                                <w:t>举办单位</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5" name="直接箭头连接符 27"/>
                        <wps:cNvCnPr>
                          <a:stCxn id="68" idx="2"/>
                          <a:endCxn id="80" idx="0"/>
                        </wps:cNvCnPr>
                        <wps:spPr>
                          <a:xfrm>
                            <a:off x="23533" y="28862"/>
                            <a:ext cx="0" cy="51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6" name="文本框 25"/>
                        <wps:cNvSpPr txBox="1"/>
                        <wps:spPr>
                          <a:xfrm>
                            <a:off x="23496" y="27711"/>
                            <a:ext cx="1971" cy="536"/>
                          </a:xfrm>
                          <a:prstGeom prst="rect">
                            <a:avLst/>
                          </a:prstGeom>
                          <a:noFill/>
                          <a:ln w="6350">
                            <a:noFill/>
                          </a:ln>
                        </wps:spPr>
                        <wps:txbx>
                          <w:txbxContent>
                            <w:p>
                              <w:pPr>
                                <w:rPr>
                                  <w:rFonts w:hint="eastAsia"/>
                                  <w:sz w:val="18"/>
                                  <w:szCs w:val="21"/>
                                  <w:lang w:val="en-GB" w:eastAsia="zh-CN"/>
                                </w:rPr>
                              </w:pPr>
                              <w:r>
                                <w:rPr>
                                  <w:rFonts w:hint="eastAsia"/>
                                  <w:sz w:val="18"/>
                                  <w:szCs w:val="21"/>
                                  <w:lang w:val="en-US" w:eastAsia="zh-CN"/>
                                </w:rPr>
                                <w:t>注册</w:t>
                              </w:r>
                              <w:r>
                                <w:rPr>
                                  <w:rFonts w:hint="eastAsia"/>
                                  <w:sz w:val="18"/>
                                  <w:szCs w:val="21"/>
                                  <w:lang w:val="en-GB" w:eastAsia="zh-CN"/>
                                </w:rPr>
                                <w:t>企业碳账户</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1" name="肘形连接符 101"/>
                        <wps:cNvCnPr>
                          <a:stCxn id="80" idx="2"/>
                          <a:endCxn id="88" idx="0"/>
                        </wps:cNvCnPr>
                        <wps:spPr>
                          <a:xfrm rot="5400000" flipV="1">
                            <a:off x="23276" y="30262"/>
                            <a:ext cx="515" cy="5"/>
                          </a:xfrm>
                          <a:prstGeom prst="bentConnector2">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8" name="文本框 23"/>
                        <wps:cNvSpPr txBox="1"/>
                        <wps:spPr>
                          <a:xfrm>
                            <a:off x="22098" y="28238"/>
                            <a:ext cx="2869" cy="624"/>
                          </a:xfrm>
                          <a:prstGeom prst="rect">
                            <a:avLst/>
                          </a:prstGeom>
                          <a:solidFill>
                            <a:schemeClr val="lt1"/>
                          </a:solidFill>
                          <a:ln w="6350">
                            <a:solidFill>
                              <a:prstClr val="black"/>
                            </a:solidFill>
                          </a:ln>
                        </wps:spPr>
                        <wps:txbx>
                          <w:txbxContent>
                            <w:p>
                              <w:pPr>
                                <w:jc w:val="center"/>
                                <w:rPr>
                                  <w:rFonts w:hint="eastAsia"/>
                                  <w:b/>
                                  <w:bCs/>
                                </w:rPr>
                              </w:pPr>
                              <w:r>
                                <w:rPr>
                                  <w:rFonts w:hint="eastAsia"/>
                                  <w:b/>
                                  <w:bCs/>
                                </w:rPr>
                                <w:t>碳普惠</w:t>
                              </w:r>
                              <w:r>
                                <w:rPr>
                                  <w:rFonts w:hint="eastAsia"/>
                                  <w:b/>
                                  <w:bCs/>
                                  <w:lang w:val="en-US" w:eastAsia="zh-CN"/>
                                </w:rPr>
                                <w:t>管理</w:t>
                              </w:r>
                              <w:r>
                                <w:rPr>
                                  <w:rFonts w:hint="eastAsia"/>
                                  <w:b/>
                                  <w:bCs/>
                                </w:rPr>
                                <w:t>平台</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9" name="文本框 23"/>
                        <wps:cNvSpPr txBox="1"/>
                        <wps:spPr>
                          <a:xfrm>
                            <a:off x="22098" y="31660"/>
                            <a:ext cx="2869" cy="624"/>
                          </a:xfrm>
                          <a:prstGeom prst="rect">
                            <a:avLst/>
                          </a:prstGeom>
                          <a:solidFill>
                            <a:schemeClr val="lt1"/>
                          </a:solidFill>
                          <a:ln w="6350">
                            <a:solidFill>
                              <a:prstClr val="black"/>
                            </a:solidFill>
                          </a:ln>
                        </wps:spPr>
                        <wps:txbx>
                          <w:txbxContent>
                            <w:p>
                              <w:pPr>
                                <w:jc w:val="center"/>
                                <w:rPr>
                                  <w:rFonts w:hint="eastAsia"/>
                                </w:rPr>
                              </w:pPr>
                              <w:r>
                                <w:rPr>
                                  <w:rFonts w:hint="eastAsia"/>
                                  <w:b/>
                                  <w:bCs/>
                                </w:rPr>
                                <w:t>结果公示</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0" name="文本框 23"/>
                        <wps:cNvSpPr txBox="1"/>
                        <wps:spPr>
                          <a:xfrm>
                            <a:off x="22098" y="29380"/>
                            <a:ext cx="2869" cy="624"/>
                          </a:xfrm>
                          <a:prstGeom prst="rect">
                            <a:avLst/>
                          </a:prstGeom>
                          <a:solidFill>
                            <a:schemeClr val="lt1"/>
                          </a:solidFill>
                          <a:ln w="6350">
                            <a:solidFill>
                              <a:prstClr val="black"/>
                            </a:solidFill>
                          </a:ln>
                        </wps:spPr>
                        <wps:txbx>
                          <w:txbxContent>
                            <w:p>
                              <w:pPr>
                                <w:jc w:val="center"/>
                                <w:rPr>
                                  <w:rFonts w:hint="eastAsia"/>
                                </w:rPr>
                              </w:pPr>
                              <w:r>
                                <w:rPr>
                                  <w:rFonts w:hint="eastAsia"/>
                                  <w:b/>
                                  <w:bCs/>
                                </w:rPr>
                                <w:t>平台认证</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8" name="文本框 23"/>
                        <wps:cNvSpPr txBox="1"/>
                        <wps:spPr>
                          <a:xfrm>
                            <a:off x="22098" y="30519"/>
                            <a:ext cx="2869" cy="624"/>
                          </a:xfrm>
                          <a:prstGeom prst="rect">
                            <a:avLst/>
                          </a:prstGeom>
                          <a:solidFill>
                            <a:schemeClr val="lt1"/>
                          </a:solidFill>
                          <a:ln w="6350">
                            <a:solidFill>
                              <a:prstClr val="black"/>
                            </a:solidFill>
                          </a:ln>
                        </wps:spPr>
                        <wps:txbx>
                          <w:txbxContent>
                            <w:p>
                              <w:pPr>
                                <w:jc w:val="center"/>
                                <w:rPr>
                                  <w:rFonts w:hint="eastAsia"/>
                                </w:rPr>
                              </w:pPr>
                              <w:r>
                                <w:rPr>
                                  <w:rFonts w:hint="eastAsia"/>
                                  <w:b/>
                                  <w:bCs/>
                                </w:rPr>
                                <w:t>碳中和证书</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8" name="直接箭头连接符 27"/>
                        <wps:cNvCnPr>
                          <a:endCxn id="81" idx="0"/>
                        </wps:cNvCnPr>
                        <wps:spPr>
                          <a:xfrm flipH="1">
                            <a:off x="23533" y="26633"/>
                            <a:ext cx="1" cy="46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left:-4.9pt;margin-top:9.05pt;height:606.1pt;width:450.7pt;z-index:251661312;mso-width-relative:page;mso-height-relative:page;" coordorigin="19025,20448" coordsize="9014,12122" o:gfxdata="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">
                <o:lock v:ext="edit" aspectratio="f"/>
                <v:shape id="文本框 2" o:spid="_x0000_s1026" o:spt="202" type="#_x0000_t202" style="position:absolute;left:23532;top:22266;height:4348;width:4207;" fillcolor="#FFFFFF [3201]" filled="t" stroked="t" coordsize="21600,21600" o:gfxdata="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OubqQtwAAANsAAAAP&#10;AAAAAAAAAAEAIAAAACIAAABkcnMvZG93bnJldi54bWxQSwECFAAUAAAACACHTuJAMy8FnjsAAAA5&#10;AAAAEAAAAAAAAAABACAAAAAGAQAAZHJzL3NoYXBleG1sLnhtbFBLBQYAAAAABgAGAFsBAACwAwAA&#10;AAA=&#10;">
                  <v:fill on="t" focussize="0,0"/>
                  <v:stroke weight="0.5pt" color="#000000" joinstyle="round"/>
                  <v:imagedata o:title=""/>
                  <o:lock v:ext="edit" aspectratio="f"/>
                  <v:textbox>
                    <w:txbxContent>
                      <w:p>
                        <w:pPr>
                          <w:jc w:val="center"/>
                          <w:rPr>
                            <w:rFonts w:hint="eastAsia" w:eastAsiaTheme="minorEastAsia"/>
                            <w:b/>
                            <w:bCs/>
                            <w:lang w:eastAsia="zh-CN"/>
                          </w:rPr>
                        </w:pPr>
                        <w:r>
                          <w:rPr>
                            <w:rFonts w:hint="eastAsia"/>
                            <w:b/>
                            <w:bCs/>
                          </w:rPr>
                          <w:t>委托技术服务机构协助开展</w:t>
                        </w:r>
                        <w:r>
                          <w:rPr>
                            <w:rFonts w:hint="eastAsia"/>
                            <w:b/>
                            <w:bCs/>
                            <w:lang w:val="en-GB"/>
                          </w:rPr>
                          <w:t>碳中和</w:t>
                        </w:r>
                        <w:r>
                          <w:rPr>
                            <w:rFonts w:hint="eastAsia"/>
                            <w:b/>
                            <w:bCs/>
                            <w:lang w:val="en-US" w:eastAsia="zh-CN"/>
                          </w:rPr>
                          <w:t>工作</w:t>
                        </w:r>
                      </w:p>
                      <w:p>
                        <w:pPr>
                          <w:jc w:val="center"/>
                          <w:rPr>
                            <w:rFonts w:hint="default" w:eastAsiaTheme="minorEastAsia"/>
                            <w:lang w:val="en-US" w:eastAsia="zh-CN"/>
                          </w:rPr>
                        </w:pPr>
                      </w:p>
                    </w:txbxContent>
                  </v:textbox>
                </v:shape>
                <v:shape id="文本框 23" o:spid="_x0000_s1026" o:spt="202" type="#_x0000_t202" style="position:absolute;left:24355;top:25447;height:567;width:2885;v-text-anchor:middle;" fillcolor="#FFFFFF [3201]" filled="t" stroked="t" coordsize="21600,21600" o:gfxdata="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s0dbvQAA&#10;ANsAAAAPAAAAAAAAAAEAIAAAACIAAABkcnMvZG93bnJldi54bWxQSwECFAAUAAAACACHTuJAMy8F&#10;njsAAAA5AAAAEAAAAAAAAAABACAAAAAMAQAAZHJzL3NoYXBleG1sLnhtbFBLBQYAAAAABgAGAFsB&#10;AAC2AwAAAAA=&#10;">
                  <v:fill on="t" focussize="0,0"/>
                  <v:stroke weight="0.5pt" color="#000000" joinstyle="round"/>
                  <v:imagedata o:title=""/>
                  <o:lock v:ext="edit" aspectratio="f"/>
                  <v:textbox>
                    <w:txbxContent>
                      <w:p>
                        <w:pPr>
                          <w:jc w:val="center"/>
                          <w:rPr>
                            <w:rFonts w:hint="default" w:eastAsiaTheme="minorEastAsia"/>
                            <w:b/>
                            <w:bCs/>
                            <w:lang w:val="en-US" w:eastAsia="zh-CN"/>
                          </w:rPr>
                        </w:pPr>
                        <w:r>
                          <w:rPr>
                            <w:rFonts w:hint="eastAsia"/>
                            <w:b/>
                            <w:bCs/>
                            <w:lang w:val="en-US" w:eastAsia="zh-CN"/>
                          </w:rPr>
                          <w:t>碳排放评价报告</w:t>
                        </w:r>
                      </w:p>
                    </w:txbxContent>
                  </v:textbox>
                </v:shape>
                <v:shape id="直接箭头连接符 27" o:spid="_x0000_s1026" o:spt="32" type="#_x0000_t32" style="position:absolute;left:25798;top:23827;height:612;width:0;" filled="f" stroked="t" coordsize="21600,21600" o:gfxdata="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SoY5W5AAAA2wAA&#10;AA8AAAAAAAAAAQAgAAAAIgAAAGRycy9kb3ducmV2LnhtbFBLAQIUABQAAAAIAIdO4kAzLwWeOwAA&#10;ADkAAAAQAAAAAAAAAAEAIAAAAAgBAABkcnMvc2hhcGV4bWwueG1sUEsFBgAAAAAGAAYAWwEAALID&#10;AAAAAA==&#10;">
                  <v:fill on="f" focussize="0,0"/>
                  <v:stroke weight="0.5pt" color="#000000 [3213]" miterlimit="8" joinstyle="miter" endarrow="block"/>
                  <v:imagedata o:title=""/>
                  <o:lock v:ext="edit" aspectratio="f"/>
                </v:shape>
                <v:shape id="文本框 23" o:spid="_x0000_s1026" o:spt="202" type="#_x0000_t202" style="position:absolute;left:24363;top:23393;height:567;width:2869;v-text-anchor:middle;" fillcolor="#FFFFFF [3201]" filled="t" stroked="t" coordsize="21600,21600" o:gfxdata="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4tfLe8AAAA&#10;2wAAAA8AAAAAAAAAAQAgAAAAIgAAAGRycy9kb3ducmV2LnhtbFBLAQIUABQAAAAIAIdO4kAzLwWe&#10;OwAAADkAAAAQAAAAAAAAAAEAIAAAAAsBAABkcnMvc2hhcGV4bWwueG1sUEsFBgAAAAAGAAYAWwEA&#10;ALUDAAAAAA==&#10;">
                  <v:fill on="t" focussize="0,0"/>
                  <v:stroke weight="0.5pt" color="#000000" joinstyle="round"/>
                  <v:imagedata o:title=""/>
                  <o:lock v:ext="edit" aspectratio="f"/>
                  <v:textbox>
                    <w:txbxContent>
                      <w:p>
                        <w:pPr>
                          <w:jc w:val="center"/>
                          <w:rPr>
                            <w:rFonts w:hint="eastAsia"/>
                            <w:b/>
                            <w:bCs/>
                            <w:lang w:val="en-GB"/>
                          </w:rPr>
                        </w:pPr>
                        <w:r>
                          <w:rPr>
                            <w:rFonts w:hint="eastAsia"/>
                            <w:b/>
                            <w:bCs/>
                            <w:lang w:val="en-GB"/>
                          </w:rPr>
                          <w:t>碳中和实施计划</w:t>
                        </w:r>
                      </w:p>
                    </w:txbxContent>
                  </v:textbox>
                </v:shape>
                <v:shape id="直接箭头连接符 27" o:spid="_x0000_s1026" o:spt="32" type="#_x0000_t32" style="position:absolute;left:25798;top:24828;height:612;width:0;" filled="f" stroked="t" coordsize="21600,21600" o:gfxdata="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38ANvQAA&#10;ANsAAAAPAAAAAAAAAAEAIAAAACIAAABkcnMvZG93bnJldi54bWxQSwECFAAUAAAACACHTuJAMy8F&#10;njsAAAA5AAAAEAAAAAAAAAABACAAAAAMAQAAZHJzL3NoYXBleG1sLnhtbFBLBQYAAAAABgAGAFsB&#10;AAC2AwAAAAA=&#10;">
                  <v:fill on="f" focussize="0,0"/>
                  <v:stroke weight="0.5pt" color="#000000 [3213]" miterlimit="8" joinstyle="miter" endarrow="block"/>
                  <v:imagedata o:title=""/>
                  <o:lock v:ext="edit" aspectratio="f"/>
                </v:shape>
                <v:shape id="文本框 23" o:spid="_x0000_s1026" o:spt="202" type="#_x0000_t202" style="position:absolute;left:24363;top:24420;height:567;width:2869;v-text-anchor:middle;" fillcolor="#FFFFFF [3201]" filled="t" stroked="t" coordsize="21600,21600" o:gfxdata="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xOTDvQAA&#10;ANsAAAAPAAAAAAAAAAEAIAAAACIAAABkcnMvZG93bnJldi54bWxQSwECFAAUAAAACACHTuJAMy8F&#10;njsAAAA5AAAAEAAAAAAAAAABACAAAAAMAQAAZHJzL3NoYXBleG1sLnhtbFBLBQYAAAAABgAGAFsB&#10;AAC2AwAAAAA=&#10;">
                  <v:fill on="t" focussize="0,0"/>
                  <v:stroke weight="0.5pt" color="#000000" joinstyle="round"/>
                  <v:imagedata o:title=""/>
                  <o:lock v:ext="edit" aspectratio="f"/>
                  <v:textbox>
                    <w:txbxContent>
                      <w:p>
                        <w:pPr>
                          <w:jc w:val="center"/>
                          <w:rPr>
                            <w:rFonts w:hint="eastAsia"/>
                            <w:b/>
                            <w:bCs/>
                            <w:lang w:val="en-GB"/>
                          </w:rPr>
                        </w:pPr>
                        <w:r>
                          <w:rPr>
                            <w:rFonts w:hint="eastAsia"/>
                            <w:b/>
                            <w:bCs/>
                            <w:lang w:val="en-GB"/>
                          </w:rPr>
                          <w:t>碳减排措施</w:t>
                        </w:r>
                      </w:p>
                    </w:txbxContent>
                  </v:textbox>
                </v:shape>
                <v:rect id="矩形 22" o:spid="_x0000_s1026" o:spt="1" style="position:absolute;left:19025;top:20448;height:12123;width:9015;v-text-anchor:middle;" filled="f" stroked="t" coordsize="21600,21600" o:gfxdata="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xNAcLgAAADbAAAA&#10;DwAAAAAAAAABACAAAAAiAAAAZHJzL2Rvd25yZXYueG1sUEsBAhQAFAAAAAgAh07iQDMvBZ47AAAA&#10;OQAAABAAAAAAAAAAAQAgAAAABwEAAGRycy9zaGFwZXhtbC54bWxQSwUGAAAAAAYABgBbAQAAsQMA&#10;AAAA&#10;">
                  <v:fill on="f" focussize="0,0"/>
                  <v:stroke weight="0.5pt" color="#000000 [3213]" miterlimit="8" joinstyle="miter"/>
                  <v:imagedata o:title=""/>
                  <o:lock v:ext="edit" aspectratio="f"/>
                </v:rect>
                <v:shape id="文本框 2" o:spid="_x0000_s1026" o:spt="202" type="#_x0000_t202" style="position:absolute;left:19326;top:22266;height:4348;width:4209;" fillcolor="#FFFFFF [3201]" filled="t" stroked="t" coordsize="21600,21600" o:gfxdata="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INZ8n&#10;wAAAAOIAAAAPAAAAAAAAAAEAIAAAACIAAABkcnMvZG93bnJldi54bWxQSwECFAAUAAAACACHTuJA&#10;My8FnjsAAAA5AAAAEAAAAAAAAAABACAAAAAPAQAAZHJzL3NoYXBleG1sLnhtbFBLBQYAAAAABgAG&#10;AFsBAAC5AwAAAAA=&#10;">
                  <v:fill on="t" focussize="0,0"/>
                  <v:stroke weight="0.5pt" color="#000000" joinstyle="round"/>
                  <v:imagedata o:title=""/>
                  <o:lock v:ext="edit" aspectratio="f"/>
                  <v:textbox>
                    <w:txbxContent>
                      <w:p>
                        <w:pPr>
                          <w:jc w:val="center"/>
                          <w:rPr>
                            <w:rFonts w:hint="eastAsia" w:eastAsiaTheme="minorEastAsia"/>
                            <w:b/>
                            <w:bCs/>
                            <w:lang w:eastAsia="zh-CN"/>
                          </w:rPr>
                        </w:pPr>
                        <w:r>
                          <w:rPr>
                            <w:rFonts w:hint="eastAsia"/>
                            <w:b/>
                            <w:bCs/>
                          </w:rPr>
                          <w:t>举办单位自行开展</w:t>
                        </w:r>
                        <w:r>
                          <w:rPr>
                            <w:rFonts w:hint="eastAsia"/>
                            <w:b/>
                            <w:bCs/>
                            <w:lang w:val="en-GB"/>
                          </w:rPr>
                          <w:t>碳中和</w:t>
                        </w:r>
                        <w:r>
                          <w:rPr>
                            <w:rFonts w:hint="eastAsia"/>
                            <w:b/>
                            <w:bCs/>
                            <w:lang w:val="en-US" w:eastAsia="zh-CN"/>
                          </w:rPr>
                          <w:t>工作</w:t>
                        </w:r>
                      </w:p>
                      <w:p>
                        <w:pPr>
                          <w:jc w:val="center"/>
                          <w:rPr>
                            <w:rFonts w:hint="default" w:eastAsiaTheme="minorEastAsia"/>
                            <w:sz w:val="20"/>
                            <w:szCs w:val="22"/>
                            <w:lang w:val="en-US" w:eastAsia="zh-CN"/>
                          </w:rPr>
                        </w:pPr>
                        <w:r>
                          <w:rPr>
                            <w:rFonts w:hint="eastAsia"/>
                            <w:sz w:val="20"/>
                            <w:szCs w:val="22"/>
                            <w:lang w:val="en-US" w:eastAsia="zh-CN"/>
                          </w:rPr>
                          <w:t>*需委托技术服务机构出具碳排放评价报告</w:t>
                        </w:r>
                      </w:p>
                    </w:txbxContent>
                  </v:textbox>
                </v:shape>
                <v:shape id="文本框 23" o:spid="_x0000_s1026" o:spt="202" type="#_x0000_t202" style="position:absolute;left:19988;top:25428;height:567;width:2885;v-text-anchor:middle;" fillcolor="#FFFFFF [3201]" filled="t" stroked="t" coordsize="21600,21600" o:gfxdata="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FtP9a8AAAA&#10;2wAAAA8AAAAAAAAAAQAgAAAAIgAAAGRycy9kb3ducmV2LnhtbFBLAQIUABQAAAAIAIdO4kAzLwWe&#10;OwAAADkAAAAQAAAAAAAAAAEAIAAAAAsBAABkcnMvc2hhcGV4bWwueG1sUEsFBgAAAAAGAAYAWwEA&#10;ALUDAAAAAA==&#10;">
                  <v:fill on="t" focussize="0,0"/>
                  <v:stroke weight="0.5pt" color="#000000" joinstyle="round"/>
                  <v:imagedata o:title=""/>
                  <o:lock v:ext="edit" aspectratio="f"/>
                  <v:textbox>
                    <w:txbxContent>
                      <w:p>
                        <w:pPr>
                          <w:jc w:val="center"/>
                          <w:rPr>
                            <w:rFonts w:hint="default" w:eastAsiaTheme="minorEastAsia"/>
                            <w:b/>
                            <w:bCs/>
                            <w:lang w:val="en-US" w:eastAsia="zh-CN"/>
                          </w:rPr>
                        </w:pPr>
                        <w:r>
                          <w:rPr>
                            <w:rFonts w:hint="eastAsia"/>
                            <w:b/>
                            <w:bCs/>
                            <w:lang w:val="en-GB"/>
                          </w:rPr>
                          <w:t>第三方</w:t>
                        </w:r>
                        <w:r>
                          <w:rPr>
                            <w:rFonts w:hint="eastAsia"/>
                            <w:b/>
                            <w:bCs/>
                            <w:lang w:val="en-US" w:eastAsia="zh-CN"/>
                          </w:rPr>
                          <w:t>碳排放评价报告</w:t>
                        </w:r>
                      </w:p>
                    </w:txbxContent>
                  </v:textbox>
                </v:shape>
                <v:shape id="直接箭头连接符 27" o:spid="_x0000_s1026" o:spt="32" type="#_x0000_t32" style="position:absolute;left:21431;top:23941;height:460;width:0;" filled="f" stroked="t" coordsize="21600,21600" o:gfxdata="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Gjaz+8AAAA&#10;2wAAAA8AAAAAAAAAAQAgAAAAIgAAAGRycy9kb3ducmV2LnhtbFBLAQIUABQAAAAIAIdO4kAzLwWe&#10;OwAAADkAAAAQAAAAAAAAAAEAIAAAAAsBAABkcnMvc2hhcGV4bWwueG1sUEsFBgAAAAAGAAYAWwEA&#10;ALUDAAAAAA==&#10;">
                  <v:fill on="f" focussize="0,0"/>
                  <v:stroke weight="0.5pt" color="#000000 [3213]" miterlimit="8" joinstyle="miter" endarrow="block"/>
                  <v:imagedata o:title=""/>
                  <o:lock v:ext="edit" aspectratio="f"/>
                </v:shape>
                <v:shape id="文本框 23" o:spid="_x0000_s1026" o:spt="202" type="#_x0000_t202" style="position:absolute;left:19996;top:23374;height:567;width:2869;v-text-anchor:middle;" fillcolor="#FFFFFF [3201]" filled="t" stroked="t" coordsize="21600,21600" o:gfxdata="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IUIPLsAAADb&#10;AAAADwAAAAAAAAABACAAAAAiAAAAZHJzL2Rvd25yZXYueG1sUEsBAhQAFAAAAAgAh07iQDMvBZ47&#10;AAAAOQAAABAAAAAAAAAAAQAgAAAACgEAAGRycy9zaGFwZXhtbC54bWxQSwUGAAAAAAYABgBbAQAA&#10;tAMAAAAA&#10;">
                  <v:fill on="t" focussize="0,0"/>
                  <v:stroke weight="0.5pt" color="#000000" joinstyle="round"/>
                  <v:imagedata o:title=""/>
                  <o:lock v:ext="edit" aspectratio="f"/>
                  <v:textbox>
                    <w:txbxContent>
                      <w:p>
                        <w:pPr>
                          <w:jc w:val="center"/>
                          <w:rPr>
                            <w:rFonts w:hint="eastAsia"/>
                            <w:b/>
                            <w:bCs/>
                            <w:lang w:val="en-GB"/>
                          </w:rPr>
                        </w:pPr>
                        <w:r>
                          <w:rPr>
                            <w:rFonts w:hint="eastAsia"/>
                            <w:b/>
                            <w:bCs/>
                            <w:lang w:val="en-GB"/>
                          </w:rPr>
                          <w:t>碳中和实施计划</w:t>
                        </w:r>
                      </w:p>
                    </w:txbxContent>
                  </v:textbox>
                </v:shape>
                <v:shape id="直接箭头连接符 27" o:spid="_x0000_s1026" o:spt="32" type="#_x0000_t32" style="position:absolute;left:21431;top:24968;height:460;width:0;" filled="f" stroked="t" coordsize="21600,21600" o:gfxdata="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QfvhvQAA&#10;ANsAAAAPAAAAAAAAAAEAIAAAACIAAABkcnMvZG93bnJldi54bWxQSwECFAAUAAAACACHTuJAMy8F&#10;njsAAAA5AAAAEAAAAAAAAAABACAAAAAMAQAAZHJzL3NoYXBleG1sLnhtbFBLBQYAAAAABgAGAFsB&#10;AAC2AwAAAAA=&#10;">
                  <v:fill on="f" focussize="0,0"/>
                  <v:stroke weight="0.5pt" color="#000000 [3213]" miterlimit="8" joinstyle="miter" endarrow="block"/>
                  <v:imagedata o:title=""/>
                  <o:lock v:ext="edit" aspectratio="f"/>
                </v:shape>
                <v:shape id="文本框 23" o:spid="_x0000_s1026" o:spt="202" type="#_x0000_t202" style="position:absolute;left:19996;top:24401;height:567;width:2869;v-text-anchor:middle;" fillcolor="#FFFFFF [3201]" filled="t" stroked="t" coordsize="21600,21600" o:gfxdata="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ya2nvQAA&#10;ANsAAAAPAAAAAAAAAAEAIAAAACIAAABkcnMvZG93bnJldi54bWxQSwECFAAUAAAACACHTuJAMy8F&#10;njsAAAA5AAAAEAAAAAAAAAABACAAAAAMAQAAZHJzL3NoYXBleG1sLnhtbFBLBQYAAAAABgAGAFsB&#10;AAC2AwAAAAA=&#10;">
                  <v:fill on="t" focussize="0,0"/>
                  <v:stroke weight="0.5pt" color="#000000" joinstyle="round"/>
                  <v:imagedata o:title=""/>
                  <o:lock v:ext="edit" aspectratio="f"/>
                  <v:textbox>
                    <w:txbxContent>
                      <w:p>
                        <w:pPr>
                          <w:jc w:val="center"/>
                          <w:rPr>
                            <w:rFonts w:hint="eastAsia"/>
                            <w:b/>
                            <w:bCs/>
                            <w:lang w:val="en-GB"/>
                          </w:rPr>
                        </w:pPr>
                        <w:r>
                          <w:rPr>
                            <w:rFonts w:hint="eastAsia"/>
                            <w:b/>
                            <w:bCs/>
                            <w:lang w:val="en-GB"/>
                          </w:rPr>
                          <w:t>碳减排措施</w:t>
                        </w:r>
                      </w:p>
                    </w:txbxContent>
                  </v:textbox>
                </v:shape>
                <v:shape id="直接箭头连接符 27" o:spid="_x0000_s1026" o:spt="32" type="#_x0000_t32" style="position:absolute;left:23533;top:21635;height:612;width:0;" filled="f" stroked="t" coordsize="21600,21600" o:gfxdata="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dguXbsAAADb&#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shape id="文本框 25" o:spid="_x0000_s1026" o:spt="202" type="#_x0000_t202" style="position:absolute;left:23496;top:28853;height:536;width:1279;v-text-anchor:middle;" filled="f" stroked="f" coordsize="21600,21600" o:gfxdata="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TAZ4augAAANsA&#10;AAAPAAAAAAAAAAEAIAAAACIAAABkcnMvZG93bnJldi54bWxQSwECFAAUAAAACACHTuJAMy8FnjsA&#10;AAA5AAAAEAAAAAAAAAABACAAAAAJAQAAZHJzL3NoYXBleG1sLnhtbFBLBQYAAAAABgAGAFsBAACz&#10;AwAAAAA=&#10;">
                  <v:fill on="f" focussize="0,0"/>
                  <v:stroke on="f" weight="0.5pt"/>
                  <v:imagedata o:title=""/>
                  <o:lock v:ext="edit" aspectratio="f"/>
                  <v:textbox>
                    <w:txbxContent>
                      <w:p>
                        <w:pPr>
                          <w:rPr>
                            <w:rFonts w:hint="eastAsia"/>
                            <w:sz w:val="18"/>
                            <w:szCs w:val="18"/>
                          </w:rPr>
                        </w:pPr>
                        <w:r>
                          <w:rPr>
                            <w:rFonts w:hint="eastAsia"/>
                            <w:sz w:val="18"/>
                            <w:szCs w:val="18"/>
                          </w:rPr>
                          <w:t>核验抵消</w:t>
                        </w:r>
                      </w:p>
                    </w:txbxContent>
                  </v:textbox>
                </v:shape>
                <v:shape id="文本框 23" o:spid="_x0000_s1026" o:spt="202" type="#_x0000_t202" style="position:absolute;left:22098;top:20682;height:953;width:2869;v-text-anchor:middle;" fillcolor="#FFFFFF [3201]" filled="t" stroked="t" coordsize="21600,21600" o:gfxdata="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v6GhvQAA&#10;ANsAAAAPAAAAAAAAAAEAIAAAACIAAABkcnMvZG93bnJldi54bWxQSwECFAAUAAAACACHTuJAMy8F&#10;njsAAAA5AAAAEAAAAAAAAAABACAAAAAMAQAAZHJzL3NoYXBleG1sLnhtbFBLBQYAAAAABgAGAFsB&#10;AAC2AwAAAAA=&#10;">
                  <v:fill on="t" focussize="0,0"/>
                  <v:stroke weight="0.5pt" color="#000000" joinstyle="round"/>
                  <v:imagedata o:title=""/>
                  <o:lock v:ext="edit" aspectratio="f"/>
                  <v:textbox>
                    <w:txbxContent>
                      <w:p>
                        <w:pPr>
                          <w:jc w:val="center"/>
                          <w:rPr>
                            <w:rFonts w:hint="eastAsia"/>
                            <w:b/>
                            <w:bCs/>
                          </w:rPr>
                        </w:pPr>
                        <w:r>
                          <w:rPr>
                            <w:rFonts w:hint="eastAsia"/>
                            <w:b/>
                            <w:bCs/>
                            <w:lang w:val="en-GB"/>
                          </w:rPr>
                          <w:t>大型碳中和活动</w:t>
                        </w:r>
                      </w:p>
                    </w:txbxContent>
                  </v:textbox>
                </v:shape>
                <v:shape id="直接箭头连接符 27" o:spid="_x0000_s1026" o:spt="32" type="#_x0000_t32" style="position:absolute;left:23533;top:31143;height:517;width:0;" filled="f" stroked="t" coordsize="21600,21600" o:gfxdata="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HYbGLsAAADb&#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shape id="直接箭头连接符 27" o:spid="_x0000_s1026" o:spt="32" type="#_x0000_t32" style="position:absolute;left:23533;top:27720;height:518;width:0;" filled="f" stroked="t" coordsize="21600,21600" o:gfxdata="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n4NsvQAA&#10;ANsAAAAPAAAAAAAAAAEAIAAAACIAAABkcnMvZG93bnJldi54bWxQSwECFAAUAAAACACHTuJAMy8F&#10;njsAAAA5AAAAEAAAAAAAAAABACAAAAAMAQAAZHJzL3NoYXBleG1sLnhtbFBLBQYAAAAABgAGAFsB&#10;AAC2AwAAAAA=&#10;">
                  <v:fill on="f" focussize="0,0"/>
                  <v:stroke weight="0.5pt" color="#000000 [3213]" miterlimit="8" joinstyle="miter" endarrow="block"/>
                  <v:imagedata o:title=""/>
                  <o:lock v:ext="edit" aspectratio="f"/>
                </v:shape>
                <v:shape id="文本框 23" o:spid="_x0000_s1026" o:spt="202" type="#_x0000_t202" style="position:absolute;left:22098;top:27096;height:624;width:2869;v-text-anchor:middle;" fillcolor="#FFFFFF [3201]" filled="t" stroked="t" coordsize="21600,21600" o:gfxdata="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atGGvQAA&#10;ANsAAAAPAAAAAAAAAAEAIAAAACIAAABkcnMvZG93bnJldi54bWxQSwECFAAUAAAACACHTuJAMy8F&#10;njsAAAA5AAAAEAAAAAAAAAABACAAAAAMAQAAZHJzL3NoYXBleG1sLnhtbFBLBQYAAAAABgAGAFsB&#10;AAC2AwAAAAA=&#10;">
                  <v:fill on="t" focussize="0,0"/>
                  <v:stroke weight="0.5pt" color="#000000" joinstyle="round"/>
                  <v:imagedata o:title=""/>
                  <o:lock v:ext="edit" aspectratio="f"/>
                  <v:textbox>
                    <w:txbxContent>
                      <w:p>
                        <w:pPr>
                          <w:jc w:val="center"/>
                          <w:rPr>
                            <w:rFonts w:hint="eastAsia"/>
                            <w:b/>
                            <w:bCs/>
                          </w:rPr>
                        </w:pPr>
                        <w:r>
                          <w:rPr>
                            <w:rFonts w:hint="eastAsia"/>
                            <w:b/>
                            <w:bCs/>
                            <w:lang w:val="en-US" w:eastAsia="zh-CN"/>
                          </w:rPr>
                          <w:t>举办单位</w:t>
                        </w:r>
                      </w:p>
                    </w:txbxContent>
                  </v:textbox>
                </v:shape>
                <v:shape id="直接箭头连接符 27" o:spid="_x0000_s1026" o:spt="32" type="#_x0000_t32" style="position:absolute;left:23533;top:28862;height:518;width:0;" filled="f" stroked="t" coordsize="21600,21600" o:gfxdata="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QZW0LsAAADb&#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shape id="文本框 25" o:spid="_x0000_s1026" o:spt="202" type="#_x0000_t202" style="position:absolute;left:23496;top:27711;height:536;width:1971;v-text-anchor:middle;" filled="f" stroked="f" coordsize="21600,21600" o:gfxdata="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6hFD7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rPr>
                            <w:rFonts w:hint="eastAsia"/>
                            <w:sz w:val="18"/>
                            <w:szCs w:val="21"/>
                            <w:lang w:val="en-GB" w:eastAsia="zh-CN"/>
                          </w:rPr>
                        </w:pPr>
                        <w:r>
                          <w:rPr>
                            <w:rFonts w:hint="eastAsia"/>
                            <w:sz w:val="18"/>
                            <w:szCs w:val="21"/>
                            <w:lang w:val="en-US" w:eastAsia="zh-CN"/>
                          </w:rPr>
                          <w:t>注册</w:t>
                        </w:r>
                        <w:r>
                          <w:rPr>
                            <w:rFonts w:hint="eastAsia"/>
                            <w:sz w:val="18"/>
                            <w:szCs w:val="21"/>
                            <w:lang w:val="en-GB" w:eastAsia="zh-CN"/>
                          </w:rPr>
                          <w:t>企业碳账户</w:t>
                        </w:r>
                      </w:p>
                    </w:txbxContent>
                  </v:textbox>
                </v:shape>
                <v:shape id="_x0000_s1026" o:spid="_x0000_s1026" o:spt="33" type="#_x0000_t33" style="position:absolute;left:23276;top:30262;flip:y;height:5;width:515;rotation:-5898240f;" filled="f" stroked="t" coordsize="21600,21600" o:gfxdata="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3ePEvQAA&#10;ANwAAAAPAAAAAAAAAAEAIAAAACIAAABkcnMvZG93bnJldi54bWxQSwECFAAUAAAACACHTuJAMy8F&#10;njsAAAA5AAAAEAAAAAAAAAABACAAAAAMAQAAZHJzL3NoYXBleG1sLnhtbFBLBQYAAAAABgAGAFsB&#10;AAC2AwAAAAA=&#10;">
                  <v:fill on="f" focussize="0,0"/>
                  <v:stroke weight="0.5pt" color="#000000 [3213]" miterlimit="8" joinstyle="miter" endarrow="block"/>
                  <v:imagedata o:title=""/>
                  <o:lock v:ext="edit" aspectratio="f"/>
                </v:shape>
                <v:shape id="文本框 23" o:spid="_x0000_s1026" o:spt="202" type="#_x0000_t202" style="position:absolute;left:22098;top:28238;height:624;width:2869;v-text-anchor:middle;" fillcolor="#FFFFFF [3201]" filled="t" stroked="t" coordsize="21600,21600" o:gfxdata="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VcnuG5AAAA2wAA&#10;AA8AAAAAAAAAAQAgAAAAIgAAAGRycy9kb3ducmV2LnhtbFBLAQIUABQAAAAIAIdO4kAzLwWeOwAA&#10;ADkAAAAQAAAAAAAAAAEAIAAAAAgBAABkcnMvc2hhcGV4bWwueG1sUEsFBgAAAAAGAAYAWwEAALID&#10;AAAAAA==&#10;">
                  <v:fill on="t" focussize="0,0"/>
                  <v:stroke weight="0.5pt" color="#000000" joinstyle="round"/>
                  <v:imagedata o:title=""/>
                  <o:lock v:ext="edit" aspectratio="f"/>
                  <v:textbox>
                    <w:txbxContent>
                      <w:p>
                        <w:pPr>
                          <w:jc w:val="center"/>
                          <w:rPr>
                            <w:rFonts w:hint="eastAsia"/>
                            <w:b/>
                            <w:bCs/>
                          </w:rPr>
                        </w:pPr>
                        <w:r>
                          <w:rPr>
                            <w:rFonts w:hint="eastAsia"/>
                            <w:b/>
                            <w:bCs/>
                          </w:rPr>
                          <w:t>碳普惠</w:t>
                        </w:r>
                        <w:r>
                          <w:rPr>
                            <w:rFonts w:hint="eastAsia"/>
                            <w:b/>
                            <w:bCs/>
                            <w:lang w:val="en-US" w:eastAsia="zh-CN"/>
                          </w:rPr>
                          <w:t>管理</w:t>
                        </w:r>
                        <w:r>
                          <w:rPr>
                            <w:rFonts w:hint="eastAsia"/>
                            <w:b/>
                            <w:bCs/>
                          </w:rPr>
                          <w:t>平台</w:t>
                        </w:r>
                      </w:p>
                    </w:txbxContent>
                  </v:textbox>
                </v:shape>
                <v:shape id="文本框 23" o:spid="_x0000_s1026" o:spt="202" type="#_x0000_t202" style="position:absolute;left:22098;top:31660;height:624;width:2869;v-text-anchor:middle;" fillcolor="#FFFFFF [3201]" filled="t" stroked="t" coordsize="21600,21600" o:gfxdata="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oQO3q8AAAA&#10;2wAAAA8AAAAAAAAAAQAgAAAAIgAAAGRycy9kb3ducmV2LnhtbFBLAQIUABQAAAAIAIdO4kAzLwWe&#10;OwAAADkAAAAQAAAAAAAAAAEAIAAAAAsBAABkcnMvc2hhcGV4bWwueG1sUEsFBgAAAAAGAAYAWwEA&#10;ALUDAAAAAA==&#10;">
                  <v:fill on="t" focussize="0,0"/>
                  <v:stroke weight="0.5pt" color="#000000" joinstyle="round"/>
                  <v:imagedata o:title=""/>
                  <o:lock v:ext="edit" aspectratio="f"/>
                  <v:textbox>
                    <w:txbxContent>
                      <w:p>
                        <w:pPr>
                          <w:jc w:val="center"/>
                          <w:rPr>
                            <w:rFonts w:hint="eastAsia"/>
                          </w:rPr>
                        </w:pPr>
                        <w:r>
                          <w:rPr>
                            <w:rFonts w:hint="eastAsia"/>
                            <w:b/>
                            <w:bCs/>
                          </w:rPr>
                          <w:t>结果公示</w:t>
                        </w:r>
                      </w:p>
                    </w:txbxContent>
                  </v:textbox>
                </v:shape>
                <v:shape id="文本框 23" o:spid="_x0000_s1026" o:spt="202" type="#_x0000_t202" style="position:absolute;left:22098;top:29380;height:624;width:2869;v-text-anchor:middle;" fillcolor="#FFFFFF [3201]" filled="t" stroked="t" coordsize="21600,21600" o:gfxdata="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7JnQdugAAANsA&#10;AAAPAAAAAAAAAAEAIAAAACIAAABkcnMvZG93bnJldi54bWxQSwECFAAUAAAACACHTuJAMy8FnjsA&#10;AAA5AAAAEAAAAAAAAAABACAAAAAJAQAAZHJzL3NoYXBleG1sLnhtbFBLBQYAAAAABgAGAFsBAACz&#10;AwAAAAA=&#10;">
                  <v:fill on="t" focussize="0,0"/>
                  <v:stroke weight="0.5pt" color="#000000" joinstyle="round"/>
                  <v:imagedata o:title=""/>
                  <o:lock v:ext="edit" aspectratio="f"/>
                  <v:textbox>
                    <w:txbxContent>
                      <w:p>
                        <w:pPr>
                          <w:jc w:val="center"/>
                          <w:rPr>
                            <w:rFonts w:hint="eastAsia"/>
                          </w:rPr>
                        </w:pPr>
                        <w:r>
                          <w:rPr>
                            <w:rFonts w:hint="eastAsia"/>
                            <w:b/>
                            <w:bCs/>
                          </w:rPr>
                          <w:t>平台认证</w:t>
                        </w:r>
                      </w:p>
                    </w:txbxContent>
                  </v:textbox>
                </v:shape>
                <v:shape id="文本框 23" o:spid="_x0000_s1026" o:spt="202" type="#_x0000_t202" style="position:absolute;left:22098;top:30519;height:624;width:2869;v-text-anchor:middle;" fillcolor="#FFFFFF [3201]" filled="t" stroked="t" coordsize="21600,21600" o:gfxdata="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FUHgbugAAANsA&#10;AAAPAAAAAAAAAAEAIAAAACIAAABkcnMvZG93bnJldi54bWxQSwECFAAUAAAACACHTuJAMy8FnjsA&#10;AAA5AAAAEAAAAAAAAAABACAAAAAJAQAAZHJzL3NoYXBleG1sLnhtbFBLBQYAAAAABgAGAFsBAACz&#10;AwAAAAA=&#10;">
                  <v:fill on="t" focussize="0,0"/>
                  <v:stroke weight="0.5pt" color="#000000" joinstyle="round"/>
                  <v:imagedata o:title=""/>
                  <o:lock v:ext="edit" aspectratio="f"/>
                  <v:textbox>
                    <w:txbxContent>
                      <w:p>
                        <w:pPr>
                          <w:jc w:val="center"/>
                          <w:rPr>
                            <w:rFonts w:hint="eastAsia"/>
                          </w:rPr>
                        </w:pPr>
                        <w:r>
                          <w:rPr>
                            <w:rFonts w:hint="eastAsia"/>
                            <w:b/>
                            <w:bCs/>
                          </w:rPr>
                          <w:t>碳中和证书</w:t>
                        </w:r>
                      </w:p>
                    </w:txbxContent>
                  </v:textbox>
                </v:shape>
                <v:shape id="直接箭头连接符 27" o:spid="_x0000_s1026" o:spt="32" type="#_x0000_t32" style="position:absolute;left:23533;top:26633;flip:x;height:463;width:1;" filled="f" stroked="t" coordsize="21600,21600" o:gfxdata="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Ea8Dr4A&#10;AADcAAAADwAAAAAAAAABACAAAAAiAAAAZHJzL2Rvd25yZXYueG1sUEsBAhQAFAAAAAgAh07iQDMv&#10;BZ47AAAAOQAAABAAAAAAAAAAAQAgAAAADQEAAGRycy9zaGFwZXhtbC54bWxQSwUGAAAAAAYABgBb&#10;AQAAtwMAAAAA&#10;">
                  <v:fill on="f" focussize="0,0"/>
                  <v:stroke weight="0.5pt" color="#000000 [3213]" miterlimit="8" joinstyle="miter" endarrow="block"/>
                  <v:imagedata o:title=""/>
                  <o:lock v:ext="edit" aspectratio="f"/>
                </v:shape>
              </v:group>
            </w:pict>
          </mc:Fallback>
        </mc:AlternateContent>
      </w:r>
    </w:p>
    <w:p>
      <w:pPr>
        <w:keepLines w:val="0"/>
        <w:pageBreakBefore w:val="0"/>
        <w:kinsoku/>
        <w:wordWrap/>
        <w:overflowPunct/>
        <w:topLinePunct w:val="0"/>
        <w:bidi w:val="0"/>
        <w:adjustRightInd/>
        <w:snapToGrid/>
        <w:spacing w:line="560" w:lineRule="exact"/>
        <w:textAlignment w:val="auto"/>
      </w:pPr>
    </w:p>
    <w:sectPr>
      <w:footerReference r:id="rId7" w:type="default"/>
      <w:pgSz w:w="11906" w:h="16838"/>
      <w:pgMar w:top="2098" w:right="1474" w:bottom="1985"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00B5F14-1A5C-4CB0-BD17-7A94104E5CB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CE519A86-9B80-4FAF-85E9-C3BEA23CD935}"/>
  </w:font>
  <w:font w:name="Cambria">
    <w:panose1 w:val="02040503050406030204"/>
    <w:charset w:val="00"/>
    <w:family w:val="roman"/>
    <w:pitch w:val="default"/>
    <w:sig w:usb0="E00006FF" w:usb1="420024FF" w:usb2="02000000" w:usb3="00000000" w:csb0="2000019F" w:csb1="00000000"/>
  </w:font>
  <w:font w:name="PMingLiU-ExtB">
    <w:panose1 w:val="02020500000000000000"/>
    <w:charset w:val="88"/>
    <w:family w:val="roman"/>
    <w:pitch w:val="default"/>
    <w:sig w:usb0="8000002F" w:usb1="02000008" w:usb2="00000000" w:usb3="00000000" w:csb0="00100001" w:csb1="00000000"/>
  </w:font>
  <w:font w:name="楷体_GB2312">
    <w:panose1 w:val="02010609030101010101"/>
    <w:charset w:val="86"/>
    <w:family w:val="modern"/>
    <w:pitch w:val="default"/>
    <w:sig w:usb0="00000001" w:usb1="080E0000" w:usb2="00000000" w:usb3="00000000" w:csb0="00040000" w:csb1="00000000"/>
    <w:embedRegular r:id="rId3" w:fontKey="{6F0F2807-1705-4BD9-A41D-19F8C2C6BCC8}"/>
  </w:font>
  <w:font w:name="方正小标宋简体">
    <w:panose1 w:val="03000509000000000000"/>
    <w:charset w:val="86"/>
    <w:family w:val="auto"/>
    <w:pitch w:val="default"/>
    <w:sig w:usb0="00000001" w:usb1="080E0000" w:usb2="00000000" w:usb3="00000000" w:csb0="00040000" w:csb1="00000000"/>
    <w:embedRegular r:id="rId4" w:fontKey="{9507F760-C643-4602-BDEA-23315D18103B}"/>
  </w:font>
  <w:font w:name="仿宋_GB2312">
    <w:panose1 w:val="02010609030101010101"/>
    <w:charset w:val="86"/>
    <w:family w:val="modern"/>
    <w:pitch w:val="default"/>
    <w:sig w:usb0="00000001" w:usb1="080E0000" w:usb2="00000000" w:usb3="00000000" w:csb0="00040000" w:csb1="00000000"/>
    <w:embedRegular r:id="rId5" w:fontKey="{16FF6F5C-918F-4F0A-91FC-FC8FE0929395}"/>
  </w:font>
  <w:font w:name="仿宋">
    <w:panose1 w:val="02010609060101010101"/>
    <w:charset w:val="86"/>
    <w:family w:val="modern"/>
    <w:pitch w:val="default"/>
    <w:sig w:usb0="800002BF" w:usb1="38CF7CFA" w:usb2="00000016" w:usb3="00000000" w:csb0="00040001" w:csb1="00000000"/>
    <w:embedRegular r:id="rId6" w:fontKey="{5DFC35D0-3726-4652-81C3-231724EAEE77}"/>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0" w:lineRule="auto"/>
      <w:ind w:left="4608"/>
      <w:rPr>
        <w:rFonts w:hint="eastAsia" w:ascii="宋体" w:hAnsi="宋体" w:eastAsia="宋体" w:cs="宋体"/>
        <w:sz w:val="18"/>
        <w:szCs w:val="18"/>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4" w:lineRule="auto"/>
      <w:ind w:left="7554"/>
      <w:rPr>
        <w:rFonts w:hint="eastAsia" w:ascii="宋体" w:hAnsi="宋体" w:eastAsia="宋体" w:cs="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posOffset>5047615</wp:posOffset>
              </wp:positionH>
              <wp:positionV relativeFrom="paragraph">
                <wp:posOffset>297180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- 17 -</w:t>
                          </w:r>
                          <w:r>
                            <w:rPr>
                              <w:rFonts w:hint="eastAsia" w:ascii="仿宋_GB2312" w:hAnsi="仿宋_GB2312" w:eastAsia="仿宋_GB2312" w:cs="仿宋_GB2312"/>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97.45pt;margin-top:23.4pt;height:144pt;width:144pt;mso-position-horizontal-relative:margin;mso-wrap-style:none;z-index:251661312;mso-width-relative:page;mso-height-relative:page;" filled="f" stroked="f" coordsize="21600,21600" o:gfxdata="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Cw0VWnYAAAACwEAAA8AAAAAAAAAAQAgAAAAIgAAAGRycy9kb3ducmV2Lnht&#10;bFBLAQIUABQAAAAIAIdO4kDhgNOOMgIAAGEEAAAOAAAAAAAAAAEAIAAAACcBAABkcnMvZTJvRG9j&#10;LnhtbFBLBQYAAAAABgAGAFkBAADLBQAAAAA=&#10;">
              <v:fill on="f" focussize="0,0"/>
              <v:stroke on="f" weight="0.5pt"/>
              <v:imagedata o:title=""/>
              <o:lock v:ext="edit" aspectratio="f"/>
              <v:textbox inset="0mm,0mm,0mm,0mm" style="mso-fit-shape-to-text:t;">
                <w:txbxContent>
                  <w:p>
                    <w:pPr>
                      <w:pStyle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- 17 -</w:t>
                    </w:r>
                    <w:r>
                      <w:rPr>
                        <w:rFonts w:hint="eastAsia" w:ascii="仿宋_GB2312" w:hAnsi="仿宋_GB2312" w:eastAsia="仿宋_GB2312" w:cs="仿宋_GB2312"/>
                        <w:sz w:val="32"/>
                        <w:szCs w:val="32"/>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pPr>
                      <w:pStyle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16127B"/>
    <w:multiLevelType w:val="singleLevel"/>
    <w:tmpl w:val="C516127B"/>
    <w:lvl w:ilvl="0" w:tentative="0">
      <w:start w:val="1"/>
      <w:numFmt w:val="decimal"/>
      <w:suff w:val="nothing"/>
      <w:lvlText w:val="%1."/>
      <w:lvlJc w:val="left"/>
      <w:pPr>
        <w:ind w:left="0" w:leftChars="0" w:firstLine="40" w:firstLineChars="0"/>
      </w:pPr>
      <w:rPr>
        <w:rFonts w:hint="default"/>
      </w:rPr>
    </w:lvl>
  </w:abstractNum>
  <w:abstractNum w:abstractNumId="1">
    <w:nsid w:val="CB043DF4"/>
    <w:multiLevelType w:val="singleLevel"/>
    <w:tmpl w:val="CB043DF4"/>
    <w:lvl w:ilvl="0" w:tentative="0">
      <w:start w:val="1"/>
      <w:numFmt w:val="decimal"/>
      <w:suff w:val="nothing"/>
      <w:lvlText w:val="%1."/>
      <w:lvlJc w:val="left"/>
      <w:pPr>
        <w:ind w:left="0" w:leftChars="0" w:firstLine="40" w:firstLineChars="0"/>
      </w:pPr>
      <w:rPr>
        <w:rFonts w:hint="default"/>
      </w:rPr>
    </w:lvl>
  </w:abstractNum>
  <w:abstractNum w:abstractNumId="2">
    <w:nsid w:val="E11E80E7"/>
    <w:multiLevelType w:val="singleLevel"/>
    <w:tmpl w:val="E11E80E7"/>
    <w:lvl w:ilvl="0" w:tentative="0">
      <w:start w:val="1"/>
      <w:numFmt w:val="decimal"/>
      <w:suff w:val="nothing"/>
      <w:lvlText w:val="%1."/>
      <w:lvlJc w:val="left"/>
      <w:pPr>
        <w:ind w:left="0" w:leftChars="0" w:firstLine="40" w:firstLineChars="0"/>
      </w:pPr>
      <w:rPr>
        <w:rFonts w:hint="default"/>
      </w:rPr>
    </w:lvl>
  </w:abstractNum>
  <w:abstractNum w:abstractNumId="3">
    <w:nsid w:val="157B85D5"/>
    <w:multiLevelType w:val="singleLevel"/>
    <w:tmpl w:val="157B85D5"/>
    <w:lvl w:ilvl="0" w:tentative="0">
      <w:start w:val="1"/>
      <w:numFmt w:val="decimal"/>
      <w:suff w:val="nothing"/>
      <w:lvlText w:val="%1."/>
      <w:lvlJc w:val="left"/>
      <w:pPr>
        <w:ind w:left="0" w:leftChars="0" w:firstLine="40" w:firstLineChars="0"/>
      </w:pPr>
      <w:rPr>
        <w:rFont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91E"/>
    <w:rsid w:val="000148B0"/>
    <w:rsid w:val="00022BF0"/>
    <w:rsid w:val="0004088D"/>
    <w:rsid w:val="00050B96"/>
    <w:rsid w:val="00072889"/>
    <w:rsid w:val="00091686"/>
    <w:rsid w:val="000B5EC8"/>
    <w:rsid w:val="00104F33"/>
    <w:rsid w:val="00150BED"/>
    <w:rsid w:val="0017062C"/>
    <w:rsid w:val="00193508"/>
    <w:rsid w:val="001B184D"/>
    <w:rsid w:val="001B2C2A"/>
    <w:rsid w:val="001C55F8"/>
    <w:rsid w:val="001E447F"/>
    <w:rsid w:val="00275848"/>
    <w:rsid w:val="002A5038"/>
    <w:rsid w:val="002F5915"/>
    <w:rsid w:val="002F66A5"/>
    <w:rsid w:val="00322AA2"/>
    <w:rsid w:val="00330209"/>
    <w:rsid w:val="00344AE9"/>
    <w:rsid w:val="003B2F59"/>
    <w:rsid w:val="003D0BED"/>
    <w:rsid w:val="00416533"/>
    <w:rsid w:val="00420A84"/>
    <w:rsid w:val="00420E0B"/>
    <w:rsid w:val="0042721C"/>
    <w:rsid w:val="00441F1A"/>
    <w:rsid w:val="00453147"/>
    <w:rsid w:val="004714DE"/>
    <w:rsid w:val="00471B17"/>
    <w:rsid w:val="00473BD0"/>
    <w:rsid w:val="00475821"/>
    <w:rsid w:val="004C4A12"/>
    <w:rsid w:val="004D391E"/>
    <w:rsid w:val="004D5AB5"/>
    <w:rsid w:val="00514EB3"/>
    <w:rsid w:val="0054158B"/>
    <w:rsid w:val="00551CE4"/>
    <w:rsid w:val="00556DDC"/>
    <w:rsid w:val="00572F80"/>
    <w:rsid w:val="00586D38"/>
    <w:rsid w:val="005A0E71"/>
    <w:rsid w:val="005A51AC"/>
    <w:rsid w:val="005C6560"/>
    <w:rsid w:val="005D74A7"/>
    <w:rsid w:val="006916D1"/>
    <w:rsid w:val="006D5A93"/>
    <w:rsid w:val="00721880"/>
    <w:rsid w:val="0074482A"/>
    <w:rsid w:val="00745A3B"/>
    <w:rsid w:val="007A3475"/>
    <w:rsid w:val="007E5EA0"/>
    <w:rsid w:val="0080380F"/>
    <w:rsid w:val="00804169"/>
    <w:rsid w:val="0082438B"/>
    <w:rsid w:val="008526AC"/>
    <w:rsid w:val="008A6083"/>
    <w:rsid w:val="0090588E"/>
    <w:rsid w:val="0091299E"/>
    <w:rsid w:val="00921842"/>
    <w:rsid w:val="009932F9"/>
    <w:rsid w:val="009A5514"/>
    <w:rsid w:val="009C32B5"/>
    <w:rsid w:val="009C6762"/>
    <w:rsid w:val="00A070C8"/>
    <w:rsid w:val="00A22590"/>
    <w:rsid w:val="00A24373"/>
    <w:rsid w:val="00A83D2E"/>
    <w:rsid w:val="00AD7FC9"/>
    <w:rsid w:val="00B1720F"/>
    <w:rsid w:val="00B56310"/>
    <w:rsid w:val="00BB20C5"/>
    <w:rsid w:val="00BF6092"/>
    <w:rsid w:val="00C0181B"/>
    <w:rsid w:val="00C077D7"/>
    <w:rsid w:val="00C110A2"/>
    <w:rsid w:val="00C46AFD"/>
    <w:rsid w:val="00C574F4"/>
    <w:rsid w:val="00C8505E"/>
    <w:rsid w:val="00C957E6"/>
    <w:rsid w:val="00C973EF"/>
    <w:rsid w:val="00D24553"/>
    <w:rsid w:val="00D330F5"/>
    <w:rsid w:val="00D65F78"/>
    <w:rsid w:val="00DE0857"/>
    <w:rsid w:val="00DF6F57"/>
    <w:rsid w:val="00E637CB"/>
    <w:rsid w:val="00EB6FA4"/>
    <w:rsid w:val="00EE2C5F"/>
    <w:rsid w:val="00EF5FA7"/>
    <w:rsid w:val="00F30C23"/>
    <w:rsid w:val="00F42D46"/>
    <w:rsid w:val="00F67B21"/>
    <w:rsid w:val="00F9328E"/>
    <w:rsid w:val="00FB5848"/>
    <w:rsid w:val="00FD0BD4"/>
    <w:rsid w:val="00FE5039"/>
    <w:rsid w:val="013A746C"/>
    <w:rsid w:val="0179280E"/>
    <w:rsid w:val="0242002A"/>
    <w:rsid w:val="04EB3A90"/>
    <w:rsid w:val="051617C9"/>
    <w:rsid w:val="052650A1"/>
    <w:rsid w:val="05444DBA"/>
    <w:rsid w:val="058D598A"/>
    <w:rsid w:val="05997E8B"/>
    <w:rsid w:val="05A07CC2"/>
    <w:rsid w:val="06776536"/>
    <w:rsid w:val="067D1193"/>
    <w:rsid w:val="06C6136F"/>
    <w:rsid w:val="0723139A"/>
    <w:rsid w:val="076F7364"/>
    <w:rsid w:val="07ED0962"/>
    <w:rsid w:val="097A7FF9"/>
    <w:rsid w:val="09A5429B"/>
    <w:rsid w:val="09D12282"/>
    <w:rsid w:val="0AC21F7F"/>
    <w:rsid w:val="0AD9190F"/>
    <w:rsid w:val="0B8F225A"/>
    <w:rsid w:val="0BB802F8"/>
    <w:rsid w:val="0C6C7BF2"/>
    <w:rsid w:val="0C940568"/>
    <w:rsid w:val="0D1028AE"/>
    <w:rsid w:val="0D4D296B"/>
    <w:rsid w:val="0DC06070"/>
    <w:rsid w:val="0E2F5830"/>
    <w:rsid w:val="0E501642"/>
    <w:rsid w:val="0E9B0C64"/>
    <w:rsid w:val="0FD65877"/>
    <w:rsid w:val="110201CA"/>
    <w:rsid w:val="11F71D9F"/>
    <w:rsid w:val="14A71394"/>
    <w:rsid w:val="14B00031"/>
    <w:rsid w:val="15BC6420"/>
    <w:rsid w:val="160009AF"/>
    <w:rsid w:val="169C3C7F"/>
    <w:rsid w:val="173848E7"/>
    <w:rsid w:val="185066FA"/>
    <w:rsid w:val="1940793F"/>
    <w:rsid w:val="19D152C1"/>
    <w:rsid w:val="1A121782"/>
    <w:rsid w:val="1A93749B"/>
    <w:rsid w:val="1AF57CC6"/>
    <w:rsid w:val="1B0E291C"/>
    <w:rsid w:val="1BDE744F"/>
    <w:rsid w:val="1C3534E4"/>
    <w:rsid w:val="1C832888"/>
    <w:rsid w:val="1CE076FD"/>
    <w:rsid w:val="1D7869A0"/>
    <w:rsid w:val="1DAB43C6"/>
    <w:rsid w:val="1E2A6014"/>
    <w:rsid w:val="1E696191"/>
    <w:rsid w:val="1F602C4F"/>
    <w:rsid w:val="1F781F9A"/>
    <w:rsid w:val="1FBE4C66"/>
    <w:rsid w:val="204C45AB"/>
    <w:rsid w:val="227712CC"/>
    <w:rsid w:val="2324240A"/>
    <w:rsid w:val="23621DAC"/>
    <w:rsid w:val="244E00FE"/>
    <w:rsid w:val="260C3775"/>
    <w:rsid w:val="26387DFC"/>
    <w:rsid w:val="26715553"/>
    <w:rsid w:val="26A86613"/>
    <w:rsid w:val="26D26455"/>
    <w:rsid w:val="27A6670B"/>
    <w:rsid w:val="288A3A29"/>
    <w:rsid w:val="2ACA2711"/>
    <w:rsid w:val="2B3B72D3"/>
    <w:rsid w:val="2BEA0B91"/>
    <w:rsid w:val="2D7031A0"/>
    <w:rsid w:val="300C20BD"/>
    <w:rsid w:val="30BE49AA"/>
    <w:rsid w:val="30E652DC"/>
    <w:rsid w:val="31C37E05"/>
    <w:rsid w:val="31FB6030"/>
    <w:rsid w:val="32257F13"/>
    <w:rsid w:val="32BC243E"/>
    <w:rsid w:val="32BD6852"/>
    <w:rsid w:val="32C4460E"/>
    <w:rsid w:val="32CD0357"/>
    <w:rsid w:val="32E47929"/>
    <w:rsid w:val="338B0E77"/>
    <w:rsid w:val="33900270"/>
    <w:rsid w:val="34B87A7E"/>
    <w:rsid w:val="34E268A9"/>
    <w:rsid w:val="35352E7D"/>
    <w:rsid w:val="370E7B82"/>
    <w:rsid w:val="3887633E"/>
    <w:rsid w:val="3A1235FE"/>
    <w:rsid w:val="3C4A6D37"/>
    <w:rsid w:val="3D99601D"/>
    <w:rsid w:val="3E2277CA"/>
    <w:rsid w:val="3E3E2EE8"/>
    <w:rsid w:val="3E5D261D"/>
    <w:rsid w:val="3EE6168C"/>
    <w:rsid w:val="3F0F1F30"/>
    <w:rsid w:val="40226919"/>
    <w:rsid w:val="40624D42"/>
    <w:rsid w:val="41450485"/>
    <w:rsid w:val="41F36599"/>
    <w:rsid w:val="420936C7"/>
    <w:rsid w:val="420C1409"/>
    <w:rsid w:val="42134EC5"/>
    <w:rsid w:val="42263A08"/>
    <w:rsid w:val="42F87147"/>
    <w:rsid w:val="44095869"/>
    <w:rsid w:val="44E16B7D"/>
    <w:rsid w:val="45693181"/>
    <w:rsid w:val="459B7ECD"/>
    <w:rsid w:val="462A00B0"/>
    <w:rsid w:val="47213261"/>
    <w:rsid w:val="47463905"/>
    <w:rsid w:val="47862F17"/>
    <w:rsid w:val="488F0B54"/>
    <w:rsid w:val="489F43BA"/>
    <w:rsid w:val="491012A6"/>
    <w:rsid w:val="492F1CB3"/>
    <w:rsid w:val="49555444"/>
    <w:rsid w:val="4A795966"/>
    <w:rsid w:val="4B2F531B"/>
    <w:rsid w:val="4B7373EC"/>
    <w:rsid w:val="4C123160"/>
    <w:rsid w:val="4D9C1893"/>
    <w:rsid w:val="4E535251"/>
    <w:rsid w:val="4F5A7BEE"/>
    <w:rsid w:val="50CE2FF8"/>
    <w:rsid w:val="511A6B8A"/>
    <w:rsid w:val="520B6031"/>
    <w:rsid w:val="53FA4CDA"/>
    <w:rsid w:val="54886591"/>
    <w:rsid w:val="54A335F8"/>
    <w:rsid w:val="54C32743"/>
    <w:rsid w:val="552F78A6"/>
    <w:rsid w:val="56C22635"/>
    <w:rsid w:val="58CA57E7"/>
    <w:rsid w:val="59A63B29"/>
    <w:rsid w:val="59DD6858"/>
    <w:rsid w:val="5A5906B0"/>
    <w:rsid w:val="5A663B5A"/>
    <w:rsid w:val="5BC8419B"/>
    <w:rsid w:val="5BFF2538"/>
    <w:rsid w:val="5D0F6C6F"/>
    <w:rsid w:val="5D195A18"/>
    <w:rsid w:val="5F5521EA"/>
    <w:rsid w:val="60E056DE"/>
    <w:rsid w:val="6243457B"/>
    <w:rsid w:val="625D25D4"/>
    <w:rsid w:val="63723321"/>
    <w:rsid w:val="63CB6A7C"/>
    <w:rsid w:val="65935200"/>
    <w:rsid w:val="65A15A76"/>
    <w:rsid w:val="65E240AB"/>
    <w:rsid w:val="66A355E9"/>
    <w:rsid w:val="691E2CC5"/>
    <w:rsid w:val="69381C7D"/>
    <w:rsid w:val="698E2580"/>
    <w:rsid w:val="6B4B23FF"/>
    <w:rsid w:val="6B4C3B36"/>
    <w:rsid w:val="6B7E4876"/>
    <w:rsid w:val="6C053E44"/>
    <w:rsid w:val="6C5E213C"/>
    <w:rsid w:val="6C6726DB"/>
    <w:rsid w:val="6CF01ECF"/>
    <w:rsid w:val="6E2362EA"/>
    <w:rsid w:val="6EBC0DAA"/>
    <w:rsid w:val="6FEC6EDA"/>
    <w:rsid w:val="6FF45107"/>
    <w:rsid w:val="703873EA"/>
    <w:rsid w:val="71085238"/>
    <w:rsid w:val="71AC37FD"/>
    <w:rsid w:val="71F569A0"/>
    <w:rsid w:val="73BF45CC"/>
    <w:rsid w:val="76292179"/>
    <w:rsid w:val="77133AE0"/>
    <w:rsid w:val="79056B2C"/>
    <w:rsid w:val="793F53CC"/>
    <w:rsid w:val="7B326164"/>
    <w:rsid w:val="7B430CF1"/>
    <w:rsid w:val="7BE11282"/>
    <w:rsid w:val="7C2E1CCB"/>
    <w:rsid w:val="7D44147C"/>
    <w:rsid w:val="7D9F49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0"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1"/>
    <w:pPr>
      <w:autoSpaceDE w:val="0"/>
      <w:autoSpaceDN w:val="0"/>
      <w:spacing w:before="67"/>
      <w:ind w:left="947" w:right="353"/>
      <w:jc w:val="center"/>
      <w:outlineLvl w:val="0"/>
    </w:pPr>
    <w:rPr>
      <w:rFonts w:ascii="宋体" w:hAnsi="宋体" w:cs="宋体"/>
      <w:kern w:val="0"/>
      <w:sz w:val="39"/>
      <w:szCs w:val="39"/>
    </w:rPr>
  </w:style>
  <w:style w:type="paragraph" w:styleId="3">
    <w:name w:val="heading 2"/>
    <w:basedOn w:val="1"/>
    <w:next w:val="1"/>
    <w:semiHidden/>
    <w:unhideWhenUsed/>
    <w:qFormat/>
    <w:uiPriority w:val="9"/>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qFormat/>
    <w:uiPriority w:val="0"/>
    <w:rPr>
      <w:rFonts w:ascii="Cambria" w:hAnsi="Cambria" w:eastAsia="黑体" w:cs="Cambria"/>
      <w:sz w:val="20"/>
      <w:szCs w:val="20"/>
    </w:rPr>
  </w:style>
  <w:style w:type="paragraph" w:styleId="6">
    <w:name w:val="Body Text"/>
    <w:basedOn w:val="1"/>
    <w:link w:val="20"/>
    <w:qFormat/>
    <w:uiPriority w:val="1"/>
    <w:pPr>
      <w:autoSpaceDE w:val="0"/>
      <w:autoSpaceDN w:val="0"/>
      <w:jc w:val="left"/>
    </w:pPr>
    <w:rPr>
      <w:rFonts w:ascii="PMingLiU-ExtB" w:hAnsi="PMingLiU-ExtB" w:eastAsia="PMingLiU-ExtB" w:cs="PMingLiU-ExtB"/>
      <w:kern w:val="0"/>
      <w:sz w:val="29"/>
      <w:szCs w:val="29"/>
    </w:rPr>
  </w:style>
  <w:style w:type="paragraph" w:styleId="7">
    <w:name w:val="toc 3"/>
    <w:basedOn w:val="1"/>
    <w:next w:val="1"/>
    <w:unhideWhenUsed/>
    <w:qFormat/>
    <w:uiPriority w:val="39"/>
    <w:pPr>
      <w:widowControl/>
      <w:spacing w:after="100" w:line="276" w:lineRule="auto"/>
      <w:ind w:left="440"/>
      <w:jc w:val="left"/>
    </w:pPr>
    <w:rPr>
      <w:kern w:val="0"/>
      <w:sz w:val="22"/>
      <w:szCs w:val="22"/>
    </w:rPr>
  </w:style>
  <w:style w:type="paragraph" w:styleId="8">
    <w:name w:val="Balloon Text"/>
    <w:basedOn w:val="1"/>
    <w:link w:val="21"/>
    <w:unhideWhenUsed/>
    <w:qFormat/>
    <w:uiPriority w:val="99"/>
    <w:rPr>
      <w:sz w:val="18"/>
      <w:szCs w:val="18"/>
    </w:rPr>
  </w:style>
  <w:style w:type="paragraph" w:styleId="9">
    <w:name w:val="footer"/>
    <w:basedOn w:val="1"/>
    <w:unhideWhenUsed/>
    <w:qFormat/>
    <w:uiPriority w:val="99"/>
    <w:pPr>
      <w:tabs>
        <w:tab w:val="center" w:pos="4153"/>
        <w:tab w:val="right" w:pos="8306"/>
      </w:tabs>
      <w:snapToGrid w:val="0"/>
      <w:jc w:val="left"/>
    </w:pPr>
    <w:rPr>
      <w:sz w:val="18"/>
    </w:rPr>
  </w:style>
  <w:style w:type="paragraph" w:styleId="10">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toc 1"/>
    <w:basedOn w:val="1"/>
    <w:next w:val="1"/>
    <w:unhideWhenUsed/>
    <w:qFormat/>
    <w:uiPriority w:val="39"/>
    <w:pPr>
      <w:widowControl/>
      <w:spacing w:after="100" w:line="276" w:lineRule="auto"/>
      <w:jc w:val="left"/>
    </w:pPr>
    <w:rPr>
      <w:kern w:val="0"/>
      <w:sz w:val="22"/>
      <w:szCs w:val="22"/>
    </w:rPr>
  </w:style>
  <w:style w:type="paragraph" w:styleId="12">
    <w:name w:val="toc 2"/>
    <w:basedOn w:val="1"/>
    <w:next w:val="1"/>
    <w:qFormat/>
    <w:uiPriority w:val="0"/>
    <w:pPr>
      <w:tabs>
        <w:tab w:val="right" w:leader="dot" w:pos="8834"/>
      </w:tabs>
    </w:pPr>
    <w:rPr>
      <w:rFonts w:ascii="黑体" w:eastAsia="楷体_GB2312"/>
      <w:sz w:val="28"/>
    </w:rPr>
  </w:style>
  <w:style w:type="paragraph" w:styleId="13">
    <w:name w:val="Normal (Web)"/>
    <w:basedOn w:val="1"/>
    <w:semiHidden/>
    <w:unhideWhenUsed/>
    <w:qFormat/>
    <w:uiPriority w:val="99"/>
    <w:pPr>
      <w:spacing w:beforeAutospacing="1" w:afterAutospacing="1"/>
      <w:jc w:val="left"/>
    </w:pPr>
    <w:rPr>
      <w:rFonts w:cs="Times New Roman"/>
      <w:kern w:val="0"/>
      <w:sz w:val="24"/>
    </w:rPr>
  </w:style>
  <w:style w:type="character" w:styleId="16">
    <w:name w:val="Strong"/>
    <w:basedOn w:val="15"/>
    <w:qFormat/>
    <w:uiPriority w:val="22"/>
    <w:rPr>
      <w:b/>
    </w:rPr>
  </w:style>
  <w:style w:type="character" w:styleId="17">
    <w:name w:val="Hyperlink"/>
    <w:basedOn w:val="15"/>
    <w:qFormat/>
    <w:uiPriority w:val="0"/>
    <w:rPr>
      <w:color w:val="0563C1" w:themeColor="hyperlink"/>
      <w:u w:val="single"/>
      <w14:textFill>
        <w14:solidFill>
          <w14:schemeClr w14:val="hlink"/>
        </w14:solidFill>
      </w14:textFill>
    </w:rPr>
  </w:style>
  <w:style w:type="paragraph" w:customStyle="1" w:styleId="18">
    <w:name w:val="列出段落1"/>
    <w:basedOn w:val="1"/>
    <w:qFormat/>
    <w:uiPriority w:val="34"/>
    <w:pPr>
      <w:ind w:firstLine="420" w:firstLineChars="200"/>
    </w:pPr>
  </w:style>
  <w:style w:type="character" w:customStyle="1" w:styleId="19">
    <w:name w:val="正文文本 字符"/>
    <w:basedOn w:val="15"/>
    <w:semiHidden/>
    <w:qFormat/>
    <w:uiPriority w:val="99"/>
  </w:style>
  <w:style w:type="character" w:customStyle="1" w:styleId="20">
    <w:name w:val="正文文本 字符1"/>
    <w:link w:val="6"/>
    <w:qFormat/>
    <w:uiPriority w:val="1"/>
    <w:rPr>
      <w:rFonts w:ascii="PMingLiU-ExtB" w:hAnsi="PMingLiU-ExtB" w:eastAsia="PMingLiU-ExtB" w:cs="PMingLiU-ExtB"/>
      <w:kern w:val="0"/>
      <w:sz w:val="29"/>
      <w:szCs w:val="29"/>
    </w:rPr>
  </w:style>
  <w:style w:type="character" w:customStyle="1" w:styleId="21">
    <w:name w:val="批注框文本 字符"/>
    <w:basedOn w:val="15"/>
    <w:link w:val="8"/>
    <w:semiHidden/>
    <w:qFormat/>
    <w:uiPriority w:val="99"/>
    <w:rPr>
      <w:kern w:val="2"/>
      <w:sz w:val="18"/>
      <w:szCs w:val="18"/>
    </w:rPr>
  </w:style>
  <w:style w:type="paragraph" w:customStyle="1" w:styleId="22">
    <w:name w:val="列表段落1"/>
    <w:basedOn w:val="1"/>
    <w:qFormat/>
    <w:uiPriority w:val="34"/>
    <w:pPr>
      <w:ind w:firstLine="420" w:firstLineChars="200"/>
    </w:pPr>
  </w:style>
  <w:style w:type="paragraph" w:customStyle="1" w:styleId="23">
    <w:name w:val="列出段落2"/>
    <w:basedOn w:val="1"/>
    <w:qFormat/>
    <w:uiPriority w:val="99"/>
    <w:pPr>
      <w:ind w:firstLine="420" w:firstLineChars="200"/>
    </w:pPr>
  </w:style>
  <w:style w:type="paragraph" w:styleId="24">
    <w:name w:val="List Paragraph"/>
    <w:basedOn w:val="1"/>
    <w:qFormat/>
    <w:uiPriority w:val="34"/>
    <w:pPr>
      <w:ind w:firstLine="420" w:firstLineChars="200"/>
    </w:pPr>
  </w:style>
  <w:style w:type="character" w:customStyle="1" w:styleId="25">
    <w:name w:val="font31"/>
    <w:basedOn w:val="15"/>
    <w:qFormat/>
    <w:uiPriority w:val="0"/>
    <w:rPr>
      <w:rFonts w:hint="eastAsia" w:ascii="宋体" w:hAnsi="宋体" w:eastAsia="宋体" w:cs="宋体"/>
      <w:b/>
      <w:bCs/>
      <w:color w:val="000000"/>
      <w:sz w:val="22"/>
      <w:szCs w:val="22"/>
      <w:u w:val="none"/>
    </w:rPr>
  </w:style>
  <w:style w:type="paragraph" w:customStyle="1" w:styleId="26">
    <w:name w:val="正文首行缩进 21"/>
    <w:basedOn w:val="1"/>
    <w:qFormat/>
    <w:uiPriority w:val="0"/>
    <w:pPr>
      <w:ind w:left="420" w:leftChars="200" w:firstLine="21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Pages>
  <Words>8535</Words>
  <Characters>8570</Characters>
  <Lines>33</Lines>
  <Paragraphs>9</Paragraphs>
  <TotalTime>1</TotalTime>
  <ScaleCrop>false</ScaleCrop>
  <LinksUpToDate>false</LinksUpToDate>
  <CharactersWithSpaces>8677</CharactersWithSpaces>
  <Application>WPS Office_12.8.2.16981_F1E327BC-269C-435d-A152-05C5408002CA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2024-12-02T08:47:00Z</dcterms:created>
  <dc:creator>Administrator</dc:creator>
  <cp:lastModifiedBy>D69TP</cp:lastModifiedBy>
  <cp:lastPrinted>2025-11-11T02:26:00Z</cp:lastPrinted>
  <dcterms:modified xsi:type="dcterms:W3CDTF">2025-11-28T02:42:01Z</dcterms:modified>
  <cp:revision>252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2052-12.8.2.16981</vt:lpwstr>
  </property>
  <property fmtid="{D5CDD505-2E9C-101B-9397-08002B2CF9AE}" pid="3" name="ICV">
    <vt:lpwstr>7BE1AC29627242E8BE8FBE76E72EB3B7_13</vt:lpwstr>
  </property>
  <property fmtid="{D5CDD505-2E9C-101B-9397-08002B2CF9AE}" pid="4" name="KSOTemplateDocerSaveRecord">
    <vt:lpwstr>eyJoZGlkIjoiZDY2ZjRiNmYzMGRmODcxMjU2OThhMTNlMjZkNmFlZGQiLCJ1c2VySWQiOiIyOTE0NzI1NDQifQ==</vt:lpwstr>
  </property>
</Properties>
</file>