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before="0" w:line="560" w:lineRule="exact"/>
        <w:ind w:left="0" w:right="0"/>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南昌市碳普惠体系建设工作方案</w:t>
      </w:r>
    </w:p>
    <w:p>
      <w:pPr>
        <w:spacing w:line="560" w:lineRule="exact"/>
        <w:jc w:val="center"/>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公开征求意见稿</w:t>
      </w:r>
      <w:r>
        <w:rPr>
          <w:rFonts w:hint="eastAsia" w:ascii="仿宋_GB2312" w:hAnsi="仿宋_GB2312" w:eastAsia="仿宋_GB2312" w:cs="仿宋_GB2312"/>
          <w:kern w:val="0"/>
          <w:sz w:val="32"/>
          <w:szCs w:val="32"/>
        </w:rPr>
        <w:t>）</w:t>
      </w:r>
      <w:bookmarkStart w:id="0" w:name="_GoBack"/>
      <w:bookmarkEnd w:id="0"/>
    </w:p>
    <w:p>
      <w:pPr>
        <w:pStyle w:val="5"/>
        <w:spacing w:line="560" w:lineRule="exact"/>
        <w:ind w:firstLine="640" w:firstLineChars="200"/>
        <w:jc w:val="both"/>
        <w:rPr>
          <w:rFonts w:ascii="仿宋_GB2312" w:hAnsi="仿宋_GB2312" w:eastAsia="仿宋_GB2312" w:cs="仿宋_GB2312"/>
          <w:sz w:val="32"/>
          <w:szCs w:val="32"/>
        </w:rPr>
      </w:pPr>
    </w:p>
    <w:p>
      <w:pPr>
        <w:pStyle w:val="5"/>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深入贯彻落实党的二十大报告精神和习近平生态文明思想，加快发展方式绿色转型，根据《江西省碳达峰实施方案》、《江西省生态环境厅关于助力绿色低碳发展的具体举措》和《南昌市碳达峰实施方案》等有关要求，倡导绿色消费，推动形成绿色低碳的生产和生活方式，打造碳普惠数据空间，发挥省会城市引领作用，稳妥有序推进我市碳普惠工作，制定本工作方案。</w:t>
      </w:r>
    </w:p>
    <w:p>
      <w:pPr>
        <w:pStyle w:val="5"/>
        <w:numPr>
          <w:ilvl w:val="0"/>
          <w:numId w:val="1"/>
        </w:numPr>
        <w:spacing w:line="560" w:lineRule="exact"/>
        <w:ind w:firstLine="696"/>
        <w:jc w:val="both"/>
        <w:rPr>
          <w:rFonts w:ascii="黑体" w:hAnsi="黑体" w:eastAsia="黑体" w:cs="黑体"/>
          <w:sz w:val="32"/>
          <w:szCs w:val="32"/>
        </w:rPr>
      </w:pPr>
      <w:r>
        <w:rPr>
          <w:rFonts w:hint="eastAsia" w:ascii="黑体" w:hAnsi="黑体" w:eastAsia="黑体" w:cs="黑体"/>
          <w:spacing w:val="14"/>
          <w:sz w:val="32"/>
          <w:szCs w:val="32"/>
        </w:rPr>
        <w:t>总体要求</w:t>
      </w:r>
    </w:p>
    <w:p>
      <w:pPr>
        <w:pStyle w:val="5"/>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以习近平新时代中国特色社会主义思想为指导，全面贯彻落实党的二十大精神和习近平生态文明思想，认真落实省、市党代会精神，践行“绿水青山就是金山银山”的理念，按照“政府主导、市场运作、社会参与”的方式，推动我市建立完善的碳普惠体系，充分调动社会各方参与碳减排行动的积极性，为加快建设人与自然和谐共生的美丽南昌提供有力支撑，结合我市实际，我市碳普惠体系建设按照“134N”的思路推进有关工作。 </w:t>
      </w:r>
    </w:p>
    <w:p>
      <w:pPr>
        <w:pStyle w:val="5"/>
        <w:numPr>
          <w:ilvl w:val="0"/>
          <w:numId w:val="1"/>
        </w:numPr>
        <w:spacing w:line="560" w:lineRule="exact"/>
        <w:ind w:firstLine="696"/>
        <w:jc w:val="both"/>
        <w:rPr>
          <w:rFonts w:ascii="黑体" w:hAnsi="黑体" w:eastAsia="黑体" w:cs="黑体"/>
          <w:spacing w:val="14"/>
          <w:sz w:val="32"/>
          <w:szCs w:val="32"/>
        </w:rPr>
      </w:pPr>
      <w:r>
        <w:rPr>
          <w:rFonts w:hint="eastAsia" w:ascii="黑体" w:hAnsi="黑体" w:eastAsia="黑体" w:cs="黑体"/>
          <w:spacing w:val="14"/>
          <w:sz w:val="32"/>
          <w:szCs w:val="32"/>
        </w:rPr>
        <w:t>总体目标</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力争到2027年，建成结构完善、科学规范、亮点突出的碳普惠结构体系。探索形成10个以上碳普惠方法学和碳减排场景评价规范，开发构建30个以上重点领域碳减排项目和应用场景。争取个人端碳普惠小程序市民覆盖率达到30%以上，服务规上企业50家以上、中小微企业500家以上，形成激励及推广机制，公众参与度显著提升，与南昌都市圈区域碳普惠一体化发展，争创国内一流的碳普惠发展先行区，构建碳数据新质生产力，助力南昌市经济社会绿色可持续发展和“双碳</w:t>
      </w:r>
      <w:r>
        <w:rPr>
          <w:rFonts w:ascii="仿宋_GB2312" w:hAnsi="仿宋_GB2312" w:eastAsia="仿宋_GB2312" w:cs="仿宋_GB2312"/>
          <w:kern w:val="0"/>
          <w:sz w:val="32"/>
          <w:szCs w:val="32"/>
        </w:rPr>
        <w:t>”</w:t>
      </w:r>
      <w:r>
        <w:rPr>
          <w:rFonts w:hint="eastAsia" w:ascii="仿宋_GB2312" w:hAnsi="仿宋_GB2312" w:eastAsia="仿宋_GB2312" w:cs="仿宋_GB2312"/>
          <w:kern w:val="0"/>
          <w:sz w:val="32"/>
          <w:szCs w:val="32"/>
        </w:rPr>
        <w:t>目标实现。</w:t>
      </w:r>
    </w:p>
    <w:p>
      <w:pPr>
        <w:pStyle w:val="5"/>
        <w:keepNext/>
        <w:numPr>
          <w:ilvl w:val="0"/>
          <w:numId w:val="1"/>
        </w:numPr>
        <w:spacing w:line="560" w:lineRule="exact"/>
        <w:ind w:firstLine="716"/>
        <w:jc w:val="both"/>
        <w:rPr>
          <w:rFonts w:ascii="黑体" w:hAnsi="黑体" w:eastAsia="黑体" w:cs="黑体"/>
          <w:spacing w:val="19"/>
          <w:sz w:val="32"/>
          <w:szCs w:val="32"/>
        </w:rPr>
      </w:pPr>
      <w:r>
        <w:rPr>
          <w:rFonts w:hint="eastAsia" w:ascii="黑体" w:hAnsi="黑体" w:eastAsia="黑体" w:cs="黑体"/>
          <w:spacing w:val="19"/>
          <w:sz w:val="32"/>
          <w:szCs w:val="32"/>
        </w:rPr>
        <w:t>重点任务</w:t>
      </w:r>
    </w:p>
    <w:p>
      <w:pPr>
        <w:pStyle w:val="5"/>
        <w:spacing w:line="560" w:lineRule="exact"/>
        <w:ind w:left="-13" w:firstLine="643"/>
        <w:rPr>
          <w:rFonts w:ascii="仿宋_GB2312" w:hAnsi="仿宋_GB2312" w:eastAsia="仿宋_GB2312" w:cs="仿宋_GB2312"/>
          <w:b/>
          <w:bCs/>
          <w:sz w:val="32"/>
          <w:szCs w:val="32"/>
        </w:rPr>
      </w:pPr>
      <w:r>
        <w:rPr>
          <w:rFonts w:hint="eastAsia" w:ascii="楷体_GB2312" w:hAnsi="楷体_GB2312" w:eastAsia="楷体_GB2312" w:cs="楷体_GB2312"/>
          <w:b/>
          <w:bCs/>
          <w:sz w:val="32"/>
          <w:szCs w:val="32"/>
        </w:rPr>
        <w:t>（一）组建一家碳普惠公司</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组建南昌碳普惠科技发展有限公司。由市政公用集团牵头组建南昌碳普惠科技发展有限公司，具体负责南昌市碳普惠综合服务平台的开发和运营工作。</w:t>
      </w:r>
      <w:r>
        <w:rPr>
          <w:rFonts w:hint="eastAsia" w:ascii="仿宋_GB2312" w:hAnsi="仿宋_GB2312" w:eastAsia="仿宋_GB2312" w:cs="仿宋_GB2312"/>
          <w:b/>
          <w:bCs/>
          <w:sz w:val="32"/>
          <w:szCs w:val="32"/>
        </w:rPr>
        <w:t>（责任单位：市国资委、市政公用集团等负责，2025年2月底前完成）</w:t>
      </w:r>
    </w:p>
    <w:p>
      <w:pPr>
        <w:pStyle w:val="5"/>
        <w:spacing w:line="560" w:lineRule="exact"/>
        <w:ind w:left="-13" w:firstLine="643"/>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（二）开发三个碳普惠平台</w:t>
      </w:r>
    </w:p>
    <w:p>
      <w:pPr>
        <w:pStyle w:val="21"/>
        <w:spacing w:line="560" w:lineRule="exact"/>
        <w:ind w:firstLine="643"/>
        <w:rPr>
          <w:rFonts w:ascii="仿宋_GB2312" w:hAnsi="仿宋_GB2312" w:eastAsia="仿宋_GB2312" w:cs="仿宋_GB2312"/>
          <w:sz w:val="32"/>
          <w:szCs w:val="32"/>
        </w:rPr>
      </w:pPr>
      <w:r>
        <w:rPr>
          <w:rFonts w:hint="eastAsia" w:ascii="仿宋_GB2312" w:hAnsi="仿宋_GB2312" w:eastAsia="仿宋_GB2312" w:cs="仿宋_GB2312"/>
          <w:b/>
          <w:bCs/>
          <w:sz w:val="32"/>
          <w:szCs w:val="32"/>
        </w:rPr>
        <w:t>1.碳普惠服务平台。</w:t>
      </w:r>
      <w:r>
        <w:rPr>
          <w:rFonts w:hint="eastAsia" w:ascii="仿宋_GB2312" w:hAnsi="仿宋_GB2312" w:eastAsia="仿宋_GB2312" w:cs="仿宋_GB2312"/>
          <w:sz w:val="32"/>
          <w:szCs w:val="32"/>
        </w:rPr>
        <w:t>开发面向个人低碳行为的碳普惠小程序，面向中小企业的自愿减排项目的碳普惠客户端网页平台。以数字化工具服务个人和中小微企业参与碳市场，满足在碳减排、碳资产管理、低碳行为激励方面的需求。</w:t>
      </w:r>
    </w:p>
    <w:p>
      <w:pPr>
        <w:pStyle w:val="21"/>
        <w:spacing w:line="560" w:lineRule="exact"/>
        <w:ind w:firstLine="643"/>
        <w:rPr>
          <w:rFonts w:ascii="仿宋_GB2312" w:hAnsi="仿宋_GB2312" w:eastAsia="仿宋_GB2312" w:cs="仿宋_GB2312"/>
          <w:sz w:val="32"/>
          <w:szCs w:val="32"/>
        </w:rPr>
      </w:pPr>
      <w:r>
        <w:rPr>
          <w:rFonts w:hint="eastAsia" w:ascii="仿宋_GB2312" w:hAnsi="仿宋_GB2312" w:eastAsia="仿宋_GB2312" w:cs="仿宋_GB2312"/>
          <w:b/>
          <w:bCs/>
          <w:sz w:val="32"/>
          <w:szCs w:val="32"/>
        </w:rPr>
        <w:t>2.数字碳管理平台。</w:t>
      </w:r>
      <w:r>
        <w:rPr>
          <w:rFonts w:hint="eastAsia" w:ascii="仿宋_GB2312" w:hAnsi="仿宋_GB2312" w:eastAsia="仿宋_GB2312" w:cs="仿宋_GB2312"/>
          <w:sz w:val="32"/>
          <w:szCs w:val="32"/>
        </w:rPr>
        <w:t>建立一套数字碳管理平台，建立地方碳排放目标评价考核系统，从阶段目标、规划制度、地方考核、行业预警管理、项目评价、企业碳盘查（碳核算）等多个方面提供数据源。后续拟上线产品碳足迹核算认证等公共服务功能，实现对产品碳足迹填报、核算、认证、采信的全生命周期、全产业链条管理和服务。进一步促进绿电、绿证、</w:t>
      </w:r>
      <w:r>
        <w:rPr>
          <w:rFonts w:ascii="仿宋_GB2312" w:hAnsi="仿宋_GB2312" w:eastAsia="仿宋_GB2312" w:cs="仿宋_GB2312"/>
          <w:sz w:val="32"/>
          <w:szCs w:val="32"/>
        </w:rPr>
        <w:t>JCER的流通，增强南昌市整体绿色竞争力。</w:t>
      </w:r>
    </w:p>
    <w:p>
      <w:pPr>
        <w:pStyle w:val="21"/>
        <w:spacing w:line="560" w:lineRule="exact"/>
        <w:ind w:firstLine="643"/>
        <w:rPr>
          <w:rFonts w:ascii="仿宋_GB2312" w:hAnsi="仿宋_GB2312" w:eastAsia="仿宋_GB2312" w:cs="仿宋_GB2312"/>
          <w:sz w:val="32"/>
          <w:szCs w:val="32"/>
        </w:rPr>
      </w:pPr>
      <w:r>
        <w:rPr>
          <w:rFonts w:hint="eastAsia" w:ascii="仿宋_GB2312" w:hAnsi="仿宋_GB2312" w:eastAsia="仿宋_GB2312" w:cs="仿宋_GB2312"/>
          <w:b/>
          <w:bCs/>
          <w:sz w:val="32"/>
          <w:szCs w:val="32"/>
        </w:rPr>
        <w:t>3.碳金融服务平台。</w:t>
      </w:r>
      <w:r>
        <w:rPr>
          <w:rFonts w:hint="eastAsia" w:ascii="仿宋_GB2312" w:hAnsi="仿宋_GB2312" w:eastAsia="仿宋_GB2312" w:cs="仿宋_GB2312"/>
          <w:sz w:val="32"/>
          <w:szCs w:val="32"/>
        </w:rPr>
        <w:t>在上述碳普惠项目和低碳场景的减排量数据基础上，整合全面且高质量的碳普惠减排量等碳资产大数据，创新碳排放配额托管保险贷款、碳配额碳信用抵押贷款、碳资产现货交易、碳回购交易、碳抵消中和以及相关碳金融衍生投资产品等碳减排金融支持产品，助力南昌市绿色金融体系建设。市生态环境局、市发改委、市工信局等市直相关单位按行业主管职责在碳普惠平台建设运营资金补助、项目申报和宣传推广等方面给予优先支持，资金由市直相关单位统筹现有资金予以安排。</w:t>
      </w:r>
      <w:r>
        <w:rPr>
          <w:rFonts w:hint="eastAsia" w:ascii="仿宋_GB2312" w:hAnsi="仿宋_GB2312" w:eastAsia="仿宋_GB2312" w:cs="仿宋_GB2312"/>
          <w:b/>
          <w:bCs/>
          <w:sz w:val="32"/>
          <w:szCs w:val="32"/>
        </w:rPr>
        <w:t>（责任单位：市政公用集团、市直相关部门按职责分工负责，碳普惠服务平台和数字碳管理平台2025 年底完成，碳金融服务平台2026年底完成）</w:t>
      </w:r>
    </w:p>
    <w:p>
      <w:pPr>
        <w:pStyle w:val="5"/>
        <w:spacing w:line="560" w:lineRule="exact"/>
        <w:ind w:left="-13" w:firstLine="643"/>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（三）建立四大碳普惠体系</w:t>
      </w:r>
    </w:p>
    <w:p>
      <w:pPr>
        <w:pStyle w:val="5"/>
        <w:spacing w:line="560" w:lineRule="exact"/>
        <w:ind w:firstLine="631" w:firstLineChars="200"/>
        <w:jc w:val="both"/>
        <w:rPr>
          <w:rFonts w:ascii="仿宋_GB2312" w:hAnsi="仿宋_GB2312" w:eastAsia="仿宋_GB2312" w:cs="仿宋_GB2312"/>
          <w:b/>
          <w:bCs/>
          <w:spacing w:val="-3"/>
          <w:sz w:val="32"/>
          <w:szCs w:val="32"/>
        </w:rPr>
      </w:pPr>
      <w:r>
        <w:rPr>
          <w:rFonts w:hint="eastAsia" w:ascii="仿宋_GB2312" w:hAnsi="仿宋_GB2312" w:eastAsia="仿宋_GB2312" w:cs="仿宋_GB2312"/>
          <w:b/>
          <w:bCs/>
          <w:spacing w:val="-3"/>
          <w:sz w:val="32"/>
          <w:szCs w:val="32"/>
        </w:rPr>
        <w:t>1、建立碳普惠管理体系</w:t>
      </w:r>
    </w:p>
    <w:p>
      <w:pPr>
        <w:pStyle w:val="5"/>
        <w:spacing w:line="560" w:lineRule="exact"/>
        <w:ind w:firstLine="643" w:firstLineChars="200"/>
        <w:jc w:val="both"/>
        <w:rPr>
          <w:rFonts w:ascii="仿宋_GB2312" w:hAnsi="仿宋_GB2312" w:eastAsia="仿宋_GB2312" w:cs="仿宋_GB2312"/>
          <w:sz w:val="32"/>
          <w:szCs w:val="32"/>
        </w:rPr>
      </w:pPr>
      <w:r>
        <w:rPr>
          <w:rFonts w:hint="eastAsia" w:ascii="仿宋_GB2312" w:hAnsi="仿宋_GB2312" w:eastAsia="仿宋_GB2312" w:cs="仿宋_GB2312"/>
          <w:b/>
          <w:bCs/>
          <w:sz w:val="32"/>
          <w:szCs w:val="32"/>
        </w:rPr>
        <w:t>（1）完善碳普惠管理制度体系。</w:t>
      </w:r>
      <w:r>
        <w:rPr>
          <w:rFonts w:hint="eastAsia" w:ascii="仿宋_GB2312" w:hAnsi="仿宋_GB2312" w:eastAsia="仿宋_GB2312" w:cs="仿宋_GB2312"/>
          <w:sz w:val="32"/>
          <w:szCs w:val="32"/>
          <w:lang w:eastAsia="zh-CN"/>
        </w:rPr>
        <w:t>统筹推进</w:t>
      </w:r>
      <w:r>
        <w:rPr>
          <w:rFonts w:hint="eastAsia" w:ascii="仿宋_GB2312" w:hAnsi="仿宋_GB2312" w:eastAsia="仿宋_GB2312" w:cs="仿宋_GB2312"/>
          <w:sz w:val="32"/>
          <w:szCs w:val="32"/>
        </w:rPr>
        <w:t>碳普惠体系建设、实施和监管工作，制定配套政策。组织向江西省生态环境厅申报温室气体自愿减排项目试点，探索形成10个以上的碳普惠方法学及碳减排场景评价标准，规范碳减排项目、低碳行为的碳减排量核算方法及评定方法，经主管部门评审备案后，在全市应用推广。</w:t>
      </w:r>
      <w:r>
        <w:rPr>
          <w:rFonts w:hint="eastAsia" w:ascii="仿宋_GB2312" w:hAnsi="仿宋_GB2312" w:eastAsia="仿宋_GB2312" w:cs="仿宋_GB2312"/>
          <w:b/>
          <w:bCs/>
          <w:sz w:val="32"/>
          <w:szCs w:val="32"/>
        </w:rPr>
        <w:t>（责任单位：市生态环境局、市政公用集团等按职责分工负责，2025年底前完成）</w:t>
      </w:r>
    </w:p>
    <w:p>
      <w:pPr>
        <w:pStyle w:val="5"/>
        <w:spacing w:line="560" w:lineRule="exact"/>
        <w:ind w:firstLine="631" w:firstLineChars="200"/>
        <w:jc w:val="both"/>
        <w:rPr>
          <w:rFonts w:ascii="仿宋_GB2312" w:hAnsi="仿宋_GB2312" w:eastAsia="仿宋_GB2312" w:cs="仿宋_GB2312"/>
          <w:b/>
          <w:bCs/>
          <w:spacing w:val="-3"/>
          <w:sz w:val="32"/>
          <w:szCs w:val="32"/>
        </w:rPr>
      </w:pPr>
      <w:r>
        <w:rPr>
          <w:rFonts w:hint="eastAsia" w:ascii="仿宋_GB2312" w:hAnsi="仿宋_GB2312" w:eastAsia="仿宋_GB2312" w:cs="仿宋_GB2312"/>
          <w:b/>
          <w:bCs/>
          <w:spacing w:val="-3"/>
          <w:sz w:val="32"/>
          <w:szCs w:val="32"/>
        </w:rPr>
        <w:t>2.建立碳普惠产品开发体系</w:t>
      </w:r>
    </w:p>
    <w:p>
      <w:pPr>
        <w:pStyle w:val="22"/>
        <w:tabs>
          <w:tab w:val="left" w:pos="1032"/>
        </w:tabs>
        <w:spacing w:line="560" w:lineRule="exact"/>
        <w:ind w:firstLine="643"/>
        <w:rPr>
          <w:rStyle w:val="20"/>
          <w:rFonts w:ascii="仿宋_GB2312" w:hAnsi="仿宋_GB2312" w:eastAsia="仿宋_GB2312" w:cs="仿宋_GB2312"/>
          <w:b/>
          <w:bCs/>
          <w:sz w:val="32"/>
          <w:szCs w:val="32"/>
        </w:rPr>
      </w:pPr>
      <w:r>
        <w:rPr>
          <w:rStyle w:val="20"/>
          <w:rFonts w:hint="eastAsia" w:ascii="仿宋_GB2312" w:hAnsi="仿宋_GB2312" w:eastAsia="仿宋_GB2312" w:cs="仿宋_GB2312"/>
          <w:b/>
          <w:bCs/>
          <w:sz w:val="32"/>
          <w:szCs w:val="32"/>
        </w:rPr>
        <w:t>（1）实施碳普惠重点项目。</w:t>
      </w:r>
      <w:r>
        <w:rPr>
          <w:rStyle w:val="20"/>
          <w:rFonts w:hint="eastAsia" w:ascii="仿宋_GB2312" w:hAnsi="仿宋_GB2312" w:eastAsia="仿宋_GB2312" w:cs="仿宋_GB2312"/>
          <w:kern w:val="0"/>
          <w:sz w:val="32"/>
          <w:szCs w:val="32"/>
        </w:rPr>
        <w:t>推动落地市政公用、农业、生态系统（林业碳汇、湿地碳汇等）以及资源综合回收利用等领域通过CCER、JCER开发减排项目各1项以上，市直相关部门按行业管理职责给予支持。重点推进市政公用集团下属洪城环境垃圾焚烧发电及污泥处理、富春环保热电厂余热利用、恒湖垦殖场农业废弃物资源化处理利用碳减排项目开发、正邦集团农业畜禽粪污等重点减排项目开发。</w:t>
      </w:r>
      <w:r>
        <w:rPr>
          <w:rStyle w:val="20"/>
          <w:rFonts w:hint="eastAsia" w:ascii="仿宋_GB2312" w:hAnsi="仿宋_GB2312" w:eastAsia="仿宋_GB2312" w:cs="仿宋_GB2312"/>
          <w:b/>
          <w:bCs/>
          <w:kern w:val="0"/>
          <w:sz w:val="32"/>
          <w:szCs w:val="32"/>
        </w:rPr>
        <w:t>（责任单位：市发改委、市生态环境局、市农业农村局、市林业局、市工信局、市政公用集团等按职责分工负责，持续推进）</w:t>
      </w:r>
    </w:p>
    <w:p>
      <w:pPr>
        <w:pStyle w:val="5"/>
        <w:spacing w:line="560" w:lineRule="exact"/>
        <w:ind w:firstLine="643" w:firstLineChars="200"/>
        <w:jc w:val="both"/>
        <w:rPr>
          <w:rStyle w:val="20"/>
          <w:rFonts w:ascii="仿宋_GB2312" w:hAnsi="仿宋_GB2312" w:eastAsia="仿宋_GB2312" w:cs="仿宋_GB2312"/>
          <w:b/>
          <w:bCs/>
          <w:sz w:val="32"/>
          <w:szCs w:val="32"/>
        </w:rPr>
      </w:pPr>
      <w:r>
        <w:rPr>
          <w:rStyle w:val="20"/>
          <w:rFonts w:hint="eastAsia" w:ascii="仿宋_GB2312" w:hAnsi="仿宋_GB2312" w:eastAsia="仿宋_GB2312" w:cs="仿宋_GB2312"/>
          <w:b/>
          <w:bCs/>
          <w:sz w:val="32"/>
          <w:szCs w:val="32"/>
        </w:rPr>
        <w:t>（2）建立个人碳减排场景。</w:t>
      </w:r>
      <w:r>
        <w:rPr>
          <w:rStyle w:val="20"/>
          <w:rFonts w:hint="eastAsia" w:ascii="仿宋_GB2312" w:hAnsi="仿宋_GB2312" w:eastAsia="仿宋_GB2312" w:cs="仿宋_GB2312"/>
          <w:color w:val="000000"/>
          <w:sz w:val="32"/>
          <w:szCs w:val="32"/>
        </w:rPr>
        <w:t>市直各单位加快推进覆盖公众衣、食、住、行、用等生活领域的碳减排场景建设，</w:t>
      </w:r>
      <w:r>
        <w:rPr>
          <w:rStyle w:val="20"/>
          <w:rFonts w:hint="eastAsia" w:ascii="仿宋_GB2312" w:hAnsi="仿宋_GB2312" w:eastAsia="仿宋_GB2312" w:cs="仿宋_GB2312"/>
          <w:sz w:val="32"/>
          <w:szCs w:val="32"/>
        </w:rPr>
        <w:t>推动与新能源汽车、巡游车、网约车、互联网租赁自行车（电动自行车）、导航电子地图等企业的信息对接。将乘坐公共交通（地铁、公交等）纳入第一批低碳出行场景（市轨道交通集团“鹭鹭行”、市交投集团公共交通低碳数据无偿接入南昌碳普惠综合服务平台）。市交通运输局引导公众优先选择公共交通等低碳出行方式。将“昌通码”、“绿宝碳汇”等现有平台公众低碳行为数据与南昌碳普惠综合服务平台接通，构建互联互通的低碳数据网络，为公众提供多样化碳普惠参与路径</w:t>
      </w:r>
      <w:r>
        <w:rPr>
          <w:rStyle w:val="20"/>
          <w:rFonts w:hint="eastAsia" w:ascii="仿宋_GB2312" w:hAnsi="仿宋_GB2312" w:eastAsia="仿宋_GB2312" w:cs="仿宋_GB2312"/>
          <w:b/>
          <w:bCs/>
          <w:sz w:val="32"/>
          <w:szCs w:val="32"/>
        </w:rPr>
        <w:t>。（责任单位：市生态环境局、市政数局、市交通运输局、市属相关国有企业等按职责分工负责，2025年底前完成）</w:t>
      </w:r>
    </w:p>
    <w:p>
      <w:pPr>
        <w:pStyle w:val="5"/>
        <w:spacing w:line="560" w:lineRule="exact"/>
        <w:ind w:firstLine="643" w:firstLineChars="200"/>
        <w:jc w:val="both"/>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3.建立碳普惠消纳体系</w:t>
      </w:r>
    </w:p>
    <w:p>
      <w:pPr>
        <w:pStyle w:val="5"/>
        <w:spacing w:line="560" w:lineRule="exact"/>
        <w:ind w:firstLine="643" w:firstLineChars="200"/>
        <w:jc w:val="both"/>
        <w:rPr>
          <w:rStyle w:val="20"/>
          <w:rFonts w:ascii="仿宋_GB2312" w:hAnsi="仿宋_GB2312" w:eastAsia="仿宋_GB2312" w:cs="仿宋_GB2312"/>
          <w:b/>
          <w:bCs/>
          <w:sz w:val="32"/>
          <w:szCs w:val="32"/>
        </w:rPr>
      </w:pPr>
      <w:r>
        <w:rPr>
          <w:rStyle w:val="20"/>
          <w:rFonts w:hint="eastAsia" w:ascii="仿宋_GB2312" w:hAnsi="仿宋_GB2312" w:eastAsia="仿宋_GB2312" w:cs="仿宋_GB2312"/>
          <w:b/>
          <w:bCs/>
          <w:sz w:val="32"/>
          <w:szCs w:val="32"/>
        </w:rPr>
        <w:t>（1）推动各类主体消纳碳普惠减排量。</w:t>
      </w:r>
    </w:p>
    <w:p>
      <w:pPr>
        <w:pStyle w:val="5"/>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各县区、开发区，市直各相关单位充分发挥各类低碳、近零碳、碳中和试点的示范引领作用，支持和引导相关企事业单位优先通过碳普惠实现碳中和。各县区、开发区，市生态环境局、市林业局等研究制定创新生态环境损害赔偿机制，推动企业通过购买南昌碳普惠减排量开展替代性修复（购买碳普惠减排量替代修复比例不低于15%）。</w:t>
      </w:r>
      <w:r>
        <w:rPr>
          <w:rFonts w:hint="eastAsia" w:ascii="仿宋_GB2312" w:hAnsi="仿宋_GB2312" w:eastAsia="仿宋_GB2312" w:cs="仿宋_GB2312"/>
          <w:b/>
          <w:bCs/>
          <w:sz w:val="32"/>
          <w:szCs w:val="32"/>
        </w:rPr>
        <w:t>（责任单位：市发改委、市生态环境局、市林业局等</w:t>
      </w:r>
      <w:r>
        <w:rPr>
          <w:rStyle w:val="20"/>
          <w:rFonts w:hint="eastAsia" w:ascii="仿宋_GB2312" w:hAnsi="仿宋_GB2312" w:eastAsia="仿宋_GB2312" w:cs="仿宋_GB2312"/>
          <w:b/>
          <w:bCs/>
          <w:sz w:val="32"/>
          <w:szCs w:val="32"/>
        </w:rPr>
        <w:t>按职责分工负责，2025年底前完成）</w:t>
      </w:r>
    </w:p>
    <w:p>
      <w:pPr>
        <w:pStyle w:val="5"/>
        <w:spacing w:line="560" w:lineRule="exact"/>
        <w:ind w:firstLine="643" w:firstLineChars="200"/>
        <w:jc w:val="both"/>
        <w:rPr>
          <w:rFonts w:ascii="仿宋_GB2312" w:hAnsi="仿宋_GB2312" w:eastAsia="仿宋_GB2312" w:cs="仿宋_GB2312"/>
          <w:sz w:val="32"/>
          <w:szCs w:val="32"/>
        </w:rPr>
      </w:pPr>
      <w:r>
        <w:rPr>
          <w:rStyle w:val="20"/>
          <w:rFonts w:hint="eastAsia" w:ascii="仿宋_GB2312" w:hAnsi="仿宋_GB2312" w:eastAsia="仿宋_GB2312" w:cs="仿宋_GB2312"/>
          <w:b/>
          <w:bCs/>
          <w:sz w:val="32"/>
          <w:szCs w:val="32"/>
        </w:rPr>
        <w:t>（2）开展大型活动碳中和行动。</w:t>
      </w:r>
      <w:r>
        <w:rPr>
          <w:rStyle w:val="20"/>
          <w:rFonts w:hint="eastAsia" w:ascii="仿宋_GB2312" w:hAnsi="仿宋_GB2312" w:eastAsia="仿宋_GB2312" w:cs="仿宋_GB2312"/>
          <w:sz w:val="32"/>
          <w:szCs w:val="32"/>
        </w:rPr>
        <w:t>市生态环境局牵头研究制定全市大型活动碳中和实施方案，市直各相关部门支持和引导论坛展会、大型会议、体育赛事、活动演出等主办单位践行绿色办会理念，优先通过“减排”+“认购”碳普惠</w:t>
      </w:r>
      <w:r>
        <w:rPr>
          <w:rFonts w:hint="eastAsia" w:ascii="仿宋_GB2312" w:hAnsi="仿宋_GB2312" w:eastAsia="仿宋_GB2312" w:cs="仿宋_GB2312"/>
          <w:sz w:val="32"/>
          <w:szCs w:val="32"/>
        </w:rPr>
        <w:t>减排量</w:t>
      </w:r>
      <w:r>
        <w:rPr>
          <w:rStyle w:val="20"/>
          <w:rFonts w:hint="eastAsia" w:ascii="仿宋_GB2312" w:hAnsi="仿宋_GB2312" w:eastAsia="仿宋_GB2312" w:cs="仿宋_GB2312"/>
          <w:sz w:val="32"/>
          <w:szCs w:val="32"/>
        </w:rPr>
        <w:t>实现碳中和。市属相关国有企业支持和引导南昌马拉松</w:t>
      </w:r>
      <w:r>
        <w:rPr>
          <w:rStyle w:val="20"/>
          <w:rFonts w:hint="eastAsia" w:ascii="仿宋_GB2312" w:hAnsi="仿宋_GB2312" w:eastAsia="仿宋_GB2312" w:cs="仿宋_GB2312"/>
          <w:color w:val="auto"/>
          <w:sz w:val="32"/>
          <w:szCs w:val="32"/>
        </w:rPr>
        <w:t>、南昌烟花秀、国体演唱会等品牌赛事</w:t>
      </w:r>
      <w:r>
        <w:rPr>
          <w:rStyle w:val="20"/>
          <w:rFonts w:hint="eastAsia" w:ascii="仿宋_GB2312" w:hAnsi="仿宋_GB2312" w:eastAsia="仿宋_GB2312" w:cs="仿宋_GB2312"/>
          <w:sz w:val="32"/>
          <w:szCs w:val="32"/>
        </w:rPr>
        <w:t>和活动通过“减排”+“认购”碳普惠</w:t>
      </w:r>
      <w:r>
        <w:rPr>
          <w:rFonts w:hint="eastAsia" w:ascii="仿宋_GB2312" w:hAnsi="仿宋_GB2312" w:eastAsia="仿宋_GB2312" w:cs="仿宋_GB2312"/>
          <w:sz w:val="32"/>
          <w:szCs w:val="32"/>
        </w:rPr>
        <w:t>减排量</w:t>
      </w:r>
      <w:r>
        <w:rPr>
          <w:rStyle w:val="20"/>
          <w:rFonts w:hint="eastAsia" w:ascii="仿宋_GB2312" w:hAnsi="仿宋_GB2312" w:eastAsia="仿宋_GB2312" w:cs="仿宋_GB2312"/>
          <w:sz w:val="32"/>
          <w:szCs w:val="32"/>
        </w:rPr>
        <w:t>实现碳中和。</w:t>
      </w:r>
      <w:r>
        <w:rPr>
          <w:rFonts w:hint="eastAsia" w:ascii="仿宋_GB2312" w:hAnsi="仿宋_GB2312" w:eastAsia="仿宋_GB2312" w:cs="仿宋_GB2312"/>
          <w:b/>
          <w:bCs/>
          <w:sz w:val="32"/>
          <w:szCs w:val="32"/>
        </w:rPr>
        <w:t>（责任单位：市生态环境局、市体育局、</w:t>
      </w:r>
      <w:r>
        <w:rPr>
          <w:rFonts w:hint="eastAsia" w:ascii="仿宋_GB2312" w:hAnsi="仿宋_GB2312" w:eastAsia="仿宋_GB2312" w:cs="仿宋_GB2312"/>
          <w:b/>
          <w:bCs/>
          <w:sz w:val="32"/>
          <w:szCs w:val="32"/>
          <w:lang w:val="en-US" w:eastAsia="zh-CN"/>
        </w:rPr>
        <w:t>市文广旅局、</w:t>
      </w:r>
      <w:r>
        <w:rPr>
          <w:rFonts w:hint="eastAsia" w:ascii="仿宋_GB2312" w:hAnsi="仿宋_GB2312" w:eastAsia="仿宋_GB2312" w:cs="仿宋_GB2312"/>
          <w:b/>
          <w:bCs/>
          <w:sz w:val="32"/>
          <w:szCs w:val="32"/>
        </w:rPr>
        <w:t>市机关事务管理局、市属相关国有企业等</w:t>
      </w:r>
      <w:r>
        <w:rPr>
          <w:rStyle w:val="20"/>
          <w:rFonts w:hint="eastAsia" w:ascii="仿宋_GB2312" w:hAnsi="仿宋_GB2312" w:eastAsia="仿宋_GB2312" w:cs="仿宋_GB2312"/>
          <w:b/>
          <w:bCs/>
          <w:sz w:val="32"/>
          <w:szCs w:val="32"/>
        </w:rPr>
        <w:t>按职责分工负责，持续推进）</w:t>
      </w:r>
    </w:p>
    <w:p>
      <w:pPr>
        <w:pStyle w:val="5"/>
        <w:spacing w:line="560" w:lineRule="exact"/>
        <w:ind w:firstLine="643" w:firstLineChars="200"/>
        <w:jc w:val="both"/>
        <w:rPr>
          <w:rFonts w:ascii="仿宋_GB2312" w:hAnsi="仿宋_GB2312" w:eastAsia="仿宋_GB2312" w:cs="仿宋_GB2312"/>
          <w:b/>
          <w:bCs/>
          <w:sz w:val="32"/>
          <w:szCs w:val="32"/>
        </w:rPr>
      </w:pPr>
      <w:r>
        <w:rPr>
          <w:rStyle w:val="20"/>
          <w:rFonts w:hint="eastAsia" w:ascii="仿宋_GB2312" w:hAnsi="仿宋_GB2312" w:eastAsia="仿宋_GB2312" w:cs="仿宋_GB2312"/>
          <w:b/>
          <w:bCs/>
          <w:sz w:val="32"/>
          <w:szCs w:val="32"/>
        </w:rPr>
        <w:t>（3）探索推动全市各类企业自愿进行碳中和行为</w:t>
      </w:r>
      <w:r>
        <w:rPr>
          <w:rStyle w:val="20"/>
          <w:rFonts w:hint="eastAsia" w:ascii="仿宋_GB2312" w:hAnsi="仿宋_GB2312" w:eastAsia="仿宋_GB2312" w:cs="仿宋_GB2312"/>
          <w:sz w:val="32"/>
          <w:szCs w:val="32"/>
        </w:rPr>
        <w:t>。各单位支持和引导全市企业、公众和公共机构积极参与碳普惠，研究制定企业和公众等通过碳普惠实现企业减碳和公众绿色低碳行为的政策激励和商业激励机制。市生态环境局、市委金融办等单位推动重点排放企业和金融机构履行社会责任，积极参与碳中和行动，对企业和金融机构自愿践行碳中和的行为给予相应政策倾斜支持。研究零碳商品标签，选取一批有代表性，具备低碳属性的商品实施碳中和，鼓励公众购买零碳商品，践行消费碳中和。</w:t>
      </w:r>
      <w:r>
        <w:rPr>
          <w:rStyle w:val="20"/>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rPr>
        <w:t>责任单位：市发改委、市工信局、市生态环境局、市工信局、市国资委、市委金融办，各县（区）政府、开发区管委会、湾里管理局等按职责分工负责，持续推进）</w:t>
      </w:r>
    </w:p>
    <w:p>
      <w:pPr>
        <w:pStyle w:val="5"/>
        <w:spacing w:line="560" w:lineRule="exact"/>
        <w:ind w:firstLine="643" w:firstLineChars="200"/>
        <w:jc w:val="both"/>
        <w:rPr>
          <w:rStyle w:val="20"/>
          <w:rFonts w:ascii="仿宋_GB2312" w:hAnsi="仿宋_GB2312" w:eastAsia="仿宋_GB2312" w:cs="仿宋_GB2312"/>
          <w:sz w:val="32"/>
          <w:szCs w:val="32"/>
        </w:rPr>
      </w:pPr>
      <w:r>
        <w:rPr>
          <w:rStyle w:val="20"/>
          <w:rFonts w:hint="eastAsia" w:ascii="仿宋_GB2312" w:hAnsi="仿宋_GB2312" w:eastAsia="仿宋_GB2312" w:cs="仿宋_GB2312"/>
          <w:b/>
          <w:bCs/>
          <w:sz w:val="32"/>
          <w:szCs w:val="32"/>
        </w:rPr>
        <w:t>（4）探索多样化商业激励机制。</w:t>
      </w:r>
      <w:r>
        <w:rPr>
          <w:rStyle w:val="20"/>
          <w:rFonts w:hint="eastAsia" w:ascii="仿宋_GB2312" w:hAnsi="仿宋_GB2312" w:eastAsia="仿宋_GB2312" w:cs="仿宋_GB2312"/>
          <w:sz w:val="32"/>
          <w:szCs w:val="32"/>
        </w:rPr>
        <w:t>支持和鼓励市内旅游景区、星级酒店、大型商场等场所开展商品促销和商业激励活动，探索多样化个人碳普惠减排量消纳渠道。具体包括提供商业代金券、景点门票（市交投集团下属滕王阁、洪崖丹井等景区）兑换券、免费停车（市政公用集团下属停车场等）便民服务、文创产品等激励措施。</w:t>
      </w:r>
      <w:r>
        <w:rPr>
          <w:rStyle w:val="20"/>
          <w:rFonts w:hint="eastAsia" w:ascii="仿宋_GB2312" w:hAnsi="仿宋_GB2312" w:eastAsia="仿宋_GB2312" w:cs="仿宋_GB2312"/>
          <w:b/>
          <w:bCs/>
          <w:sz w:val="32"/>
          <w:szCs w:val="32"/>
        </w:rPr>
        <w:t>（责任单位：市商务局、市文广旅局、市属相关国有企业等按职责分工负责，2025年底前完成）</w:t>
      </w:r>
    </w:p>
    <w:p>
      <w:pPr>
        <w:pStyle w:val="5"/>
        <w:spacing w:line="560" w:lineRule="exact"/>
        <w:ind w:firstLine="631" w:firstLineChars="200"/>
        <w:jc w:val="both"/>
        <w:rPr>
          <w:rFonts w:ascii="仿宋_GB2312" w:hAnsi="仿宋_GB2312" w:eastAsia="仿宋_GB2312" w:cs="仿宋_GB2312"/>
          <w:b/>
          <w:bCs/>
          <w:spacing w:val="-3"/>
          <w:sz w:val="32"/>
          <w:szCs w:val="32"/>
        </w:rPr>
      </w:pPr>
      <w:r>
        <w:rPr>
          <w:rFonts w:hint="eastAsia" w:ascii="仿宋_GB2312" w:hAnsi="仿宋_GB2312" w:eastAsia="仿宋_GB2312" w:cs="仿宋_GB2312"/>
          <w:b/>
          <w:bCs/>
          <w:spacing w:val="-3"/>
          <w:sz w:val="32"/>
          <w:szCs w:val="32"/>
        </w:rPr>
        <w:t>4.建立碳普惠支撑体系</w:t>
      </w:r>
    </w:p>
    <w:p>
      <w:pPr>
        <w:pStyle w:val="5"/>
        <w:spacing w:line="560" w:lineRule="exact"/>
        <w:ind w:firstLine="643" w:firstLineChars="200"/>
        <w:jc w:val="both"/>
        <w:rPr>
          <w:rFonts w:ascii="仿宋_GB2312" w:hAnsi="仿宋_GB2312" w:eastAsia="仿宋_GB2312" w:cs="仿宋_GB2312"/>
          <w:sz w:val="32"/>
          <w:szCs w:val="32"/>
        </w:rPr>
      </w:pPr>
      <w:r>
        <w:rPr>
          <w:rStyle w:val="20"/>
          <w:rFonts w:hint="eastAsia" w:ascii="仿宋_GB2312" w:hAnsi="仿宋_GB2312" w:eastAsia="仿宋_GB2312" w:cs="仿宋_GB2312"/>
          <w:b/>
          <w:bCs/>
          <w:sz w:val="32"/>
          <w:szCs w:val="32"/>
        </w:rPr>
        <w:t>（1）加快培育智力支撑团队。</w:t>
      </w:r>
      <w:r>
        <w:rPr>
          <w:rFonts w:hint="eastAsia" w:ascii="仿宋_GB2312" w:hAnsi="仿宋_GB2312" w:eastAsia="仿宋_GB2312" w:cs="仿宋_GB2312"/>
          <w:sz w:val="32"/>
          <w:szCs w:val="32"/>
        </w:rPr>
        <w:t>建立南昌碳普惠专家团队，负责决策咨询、技术服务、评审论证等工作，为管理部门决策提供有效支撑。推动各类专业机构协助开展相关规范、标准的制定与评估工作。</w:t>
      </w:r>
      <w:r>
        <w:rPr>
          <w:rFonts w:hint="eastAsia" w:ascii="仿宋_GB2312" w:hAnsi="仿宋_GB2312" w:eastAsia="仿宋_GB2312" w:cs="仿宋_GB2312"/>
          <w:b/>
          <w:bCs/>
          <w:sz w:val="32"/>
          <w:szCs w:val="32"/>
        </w:rPr>
        <w:t>（责任单位：市生态环境局、市政公用集团</w:t>
      </w:r>
      <w:r>
        <w:rPr>
          <w:rStyle w:val="20"/>
          <w:rFonts w:hint="eastAsia" w:ascii="仿宋_GB2312" w:hAnsi="仿宋_GB2312" w:eastAsia="仿宋_GB2312" w:cs="仿宋_GB2312"/>
          <w:b/>
          <w:bCs/>
          <w:sz w:val="32"/>
          <w:szCs w:val="32"/>
        </w:rPr>
        <w:t>等按职责分工负责，持续推进</w:t>
      </w:r>
      <w:r>
        <w:rPr>
          <w:rFonts w:hint="eastAsia" w:ascii="仿宋_GB2312" w:hAnsi="仿宋_GB2312" w:eastAsia="仿宋_GB2312" w:cs="仿宋_GB2312"/>
          <w:b/>
          <w:bCs/>
          <w:sz w:val="32"/>
          <w:szCs w:val="32"/>
        </w:rPr>
        <w:t>）</w:t>
      </w:r>
    </w:p>
    <w:p>
      <w:pPr>
        <w:pStyle w:val="5"/>
        <w:spacing w:line="560" w:lineRule="exact"/>
        <w:ind w:firstLine="643" w:firstLineChars="200"/>
        <w:jc w:val="both"/>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（2）加强碳普惠等绿色低碳理念教育。</w:t>
      </w:r>
      <w:r>
        <w:rPr>
          <w:rFonts w:hint="eastAsia" w:ascii="仿宋_GB2312" w:hAnsi="仿宋_GB2312" w:eastAsia="仿宋_GB2312" w:cs="仿宋_GB2312"/>
          <w:sz w:val="32"/>
          <w:szCs w:val="32"/>
        </w:rPr>
        <w:t>市教育局全面推进绿色校园建设，将碳中和、碳普惠等理念融入生态环境教育，通过系列主题实践和科普活动，提升学生绿色低碳意识。支持在昌高校建设碳中和校园。</w:t>
      </w:r>
      <w:r>
        <w:rPr>
          <w:rFonts w:hint="eastAsia" w:ascii="仿宋_GB2312" w:hAnsi="仿宋_GB2312" w:eastAsia="仿宋_GB2312" w:cs="仿宋_GB2312"/>
          <w:b/>
          <w:bCs/>
          <w:sz w:val="32"/>
          <w:szCs w:val="32"/>
        </w:rPr>
        <w:t>（责任单位：市教育局、市生态环境局，各县（区）政府、开发区管委会、湾里管理局等按职责分工负责，2025年底前完成）</w:t>
      </w:r>
    </w:p>
    <w:p>
      <w:pPr>
        <w:pStyle w:val="5"/>
        <w:spacing w:line="560" w:lineRule="exact"/>
        <w:ind w:firstLine="643" w:firstLineChars="200"/>
        <w:jc w:val="both"/>
        <w:rPr>
          <w:rStyle w:val="20"/>
          <w:rFonts w:ascii="仿宋_GB2312" w:hAnsi="仿宋_GB2312" w:eastAsia="仿宋_GB2312" w:cs="仿宋_GB2312"/>
          <w:b/>
          <w:bCs/>
          <w:sz w:val="32"/>
          <w:szCs w:val="32"/>
        </w:rPr>
      </w:pPr>
      <w:r>
        <w:rPr>
          <w:rStyle w:val="20"/>
          <w:rFonts w:hint="eastAsia" w:ascii="仿宋_GB2312" w:hAnsi="仿宋_GB2312" w:eastAsia="仿宋_GB2312" w:cs="仿宋_GB2312"/>
          <w:b/>
          <w:bCs/>
          <w:sz w:val="32"/>
          <w:szCs w:val="32"/>
        </w:rPr>
        <w:t>（3）推动碳普惠金融创新。</w:t>
      </w:r>
      <w:r>
        <w:rPr>
          <w:rStyle w:val="20"/>
          <w:rFonts w:hint="eastAsia" w:ascii="仿宋_GB2312" w:hAnsi="仿宋_GB2312" w:eastAsia="仿宋_GB2312" w:cs="仿宋_GB2312"/>
          <w:sz w:val="32"/>
          <w:szCs w:val="32"/>
        </w:rPr>
        <w:t>市委金融办积极引导金融机构研发多样化的碳普惠金融产品和服务，提供与节能减碳项目相关的融资支持，扩展企业及公共机构碳账户在金融、环境、社会及公司治理（ESG）评估等方面的应用，扩大个人碳账户在金融服务、消费支付及日常生活费用支付等领域的使用场景。</w:t>
      </w:r>
      <w:r>
        <w:rPr>
          <w:rStyle w:val="20"/>
          <w:rFonts w:hint="eastAsia" w:ascii="仿宋_GB2312" w:hAnsi="仿宋_GB2312" w:eastAsia="仿宋_GB2312" w:cs="仿宋_GB2312"/>
          <w:b/>
          <w:bCs/>
          <w:sz w:val="32"/>
          <w:szCs w:val="32"/>
        </w:rPr>
        <w:t>（责任单位：市委金融办、市生态环境局等按职责分工负责，持续推进）</w:t>
      </w:r>
    </w:p>
    <w:p>
      <w:pPr>
        <w:pStyle w:val="5"/>
        <w:spacing w:line="560" w:lineRule="exact"/>
        <w:ind w:firstLine="643" w:firstLineChars="200"/>
        <w:jc w:val="both"/>
        <w:rPr>
          <w:rFonts w:ascii="仿宋_GB2312" w:hAnsi="仿宋_GB2312" w:eastAsia="仿宋_GB2312" w:cs="仿宋_GB2312"/>
          <w:sz w:val="32"/>
          <w:szCs w:val="32"/>
        </w:rPr>
      </w:pPr>
      <w:r>
        <w:rPr>
          <w:rStyle w:val="20"/>
          <w:rFonts w:hint="eastAsia" w:ascii="仿宋_GB2312" w:hAnsi="仿宋_GB2312" w:eastAsia="仿宋_GB2312" w:cs="仿宋_GB2312"/>
          <w:b/>
          <w:bCs/>
          <w:sz w:val="32"/>
          <w:szCs w:val="32"/>
        </w:rPr>
        <w:t>（4）推进区域碳普惠一体化发展。</w:t>
      </w:r>
      <w:r>
        <w:rPr>
          <w:rFonts w:hint="eastAsia" w:ascii="仿宋_GB2312" w:hAnsi="仿宋_GB2312" w:eastAsia="仿宋_GB2312" w:cs="仿宋_GB2312"/>
          <w:sz w:val="32"/>
          <w:szCs w:val="32"/>
        </w:rPr>
        <w:t>加强与南昌都市圈及省内其他城市在碳普惠平台建设、碳交易、碳减排项目开发和宣传推广等方面的合作，共建碳普惠城市圈。</w:t>
      </w:r>
      <w:r>
        <w:rPr>
          <w:rFonts w:hint="eastAsia" w:ascii="仿宋_GB2312" w:hAnsi="仿宋_GB2312" w:eastAsia="仿宋_GB2312" w:cs="仿宋_GB2312"/>
          <w:b/>
          <w:bCs/>
          <w:sz w:val="32"/>
          <w:szCs w:val="32"/>
        </w:rPr>
        <w:t>（责任单位：市生态环境局、市政公用集团等</w:t>
      </w:r>
      <w:r>
        <w:rPr>
          <w:rStyle w:val="20"/>
          <w:rFonts w:hint="eastAsia" w:ascii="仿宋_GB2312" w:hAnsi="仿宋_GB2312" w:eastAsia="仿宋_GB2312" w:cs="仿宋_GB2312"/>
          <w:b/>
          <w:bCs/>
          <w:sz w:val="32"/>
          <w:szCs w:val="32"/>
        </w:rPr>
        <w:t>按职责分工负责，持续推进</w:t>
      </w:r>
      <w:r>
        <w:rPr>
          <w:rFonts w:ascii="仿宋_GB2312" w:hAnsi="仿宋_GB2312" w:eastAsia="仿宋_GB2312" w:cs="仿宋_GB2312"/>
          <w:b/>
          <w:bCs/>
          <w:sz w:val="32"/>
          <w:szCs w:val="32"/>
        </w:rPr>
        <w:t>）</w:t>
      </w:r>
    </w:p>
    <w:p>
      <w:pPr>
        <w:pStyle w:val="5"/>
        <w:spacing w:line="560" w:lineRule="exact"/>
        <w:ind w:firstLine="643" w:firstLineChars="200"/>
        <w:jc w:val="both"/>
        <w:rPr>
          <w:rFonts w:ascii="仿宋_GB2312" w:hAnsi="仿宋_GB2312" w:eastAsia="仿宋_GB2312" w:cs="仿宋_GB2312"/>
          <w:b/>
          <w:bCs/>
          <w:sz w:val="32"/>
          <w:szCs w:val="32"/>
        </w:rPr>
      </w:pPr>
      <w:r>
        <w:rPr>
          <w:rStyle w:val="20"/>
          <w:rFonts w:hint="eastAsia" w:ascii="仿宋_GB2312" w:hAnsi="仿宋_GB2312" w:eastAsia="仿宋_GB2312" w:cs="仿宋_GB2312"/>
          <w:b/>
          <w:bCs/>
          <w:sz w:val="32"/>
          <w:szCs w:val="32"/>
        </w:rPr>
        <w:t>（5）强化碳普惠科技支撑。</w:t>
      </w:r>
      <w:r>
        <w:rPr>
          <w:rFonts w:hint="eastAsia" w:ascii="仿宋_GB2312" w:hAnsi="仿宋_GB2312" w:eastAsia="仿宋_GB2312" w:cs="仿宋_GB2312"/>
          <w:sz w:val="32"/>
          <w:szCs w:val="32"/>
        </w:rPr>
        <w:t>支持低碳零碳负碳等相关技术的研发和应用推广，推动绿色低碳产业发展。支持高校、科研院所、企业等承担国家和本市绿色低碳重大科技项目，碳普惠平台积极与互联网等企业合作,通过大数据分析为公众提供低碳出行策略及低碳消费规划建议。</w:t>
      </w:r>
      <w:r>
        <w:rPr>
          <w:rFonts w:hint="eastAsia" w:ascii="仿宋_GB2312" w:hAnsi="仿宋_GB2312" w:eastAsia="仿宋_GB2312" w:cs="仿宋_GB2312"/>
          <w:b/>
          <w:bCs/>
          <w:sz w:val="32"/>
          <w:szCs w:val="32"/>
        </w:rPr>
        <w:t>（责任单位：市发改委、市科技局、市生态环境局、市工信局等</w:t>
      </w:r>
      <w:r>
        <w:rPr>
          <w:rStyle w:val="20"/>
          <w:rFonts w:hint="eastAsia" w:ascii="仿宋_GB2312" w:hAnsi="仿宋_GB2312" w:eastAsia="仿宋_GB2312" w:cs="仿宋_GB2312"/>
          <w:b/>
          <w:bCs/>
          <w:sz w:val="32"/>
          <w:szCs w:val="32"/>
        </w:rPr>
        <w:t>按职责分工负责，持续推进</w:t>
      </w:r>
      <w:r>
        <w:rPr>
          <w:rFonts w:ascii="仿宋_GB2312" w:hAnsi="仿宋_GB2312" w:eastAsia="仿宋_GB2312" w:cs="仿宋_GB2312"/>
          <w:b/>
          <w:bCs/>
          <w:sz w:val="32"/>
          <w:szCs w:val="32"/>
        </w:rPr>
        <w:t>）</w:t>
      </w:r>
    </w:p>
    <w:p>
      <w:pPr>
        <w:pStyle w:val="5"/>
        <w:numPr>
          <w:ilvl w:val="0"/>
          <w:numId w:val="1"/>
        </w:numPr>
        <w:spacing w:line="560" w:lineRule="exact"/>
        <w:ind w:firstLine="716"/>
        <w:jc w:val="both"/>
        <w:rPr>
          <w:rFonts w:ascii="黑体" w:hAnsi="黑体" w:eastAsia="黑体" w:cs="黑体"/>
          <w:spacing w:val="19"/>
          <w:sz w:val="32"/>
          <w:szCs w:val="32"/>
        </w:rPr>
      </w:pPr>
      <w:r>
        <w:rPr>
          <w:rFonts w:hint="eastAsia" w:ascii="黑体" w:hAnsi="黑体" w:eastAsia="黑体" w:cs="黑体"/>
          <w:spacing w:val="19"/>
          <w:sz w:val="32"/>
          <w:szCs w:val="32"/>
        </w:rPr>
        <w:t>保障措施</w:t>
      </w:r>
    </w:p>
    <w:p>
      <w:pPr>
        <w:pStyle w:val="4"/>
        <w:widowControl/>
        <w:spacing w:beforeAutospacing="0" w:afterAutospacing="0" w:line="560" w:lineRule="exact"/>
        <w:ind w:firstLine="643" w:firstLineChars="200"/>
        <w:jc w:val="both"/>
        <w:rPr>
          <w:rFonts w:hint="default" w:ascii="仿宋_GB2312" w:hAnsi="仿宋_GB2312" w:eastAsia="仿宋_GB2312" w:cs="仿宋_GB2312"/>
          <w:b w:val="0"/>
          <w:bCs w:val="0"/>
          <w:sz w:val="32"/>
          <w:szCs w:val="32"/>
        </w:rPr>
      </w:pPr>
      <w:r>
        <w:rPr>
          <w:rFonts w:hint="default" w:ascii="楷体_GB2312" w:hAnsi="楷体_GB2312" w:eastAsia="楷体_GB2312" w:cs="楷体_GB2312"/>
          <w:sz w:val="32"/>
          <w:szCs w:val="32"/>
        </w:rPr>
        <w:t>（一）加强统筹指导</w:t>
      </w:r>
      <w:r>
        <w:rPr>
          <w:rFonts w:ascii="楷体_GB2312" w:hAnsi="楷体_GB2312" w:eastAsia="楷体_GB2312" w:cs="楷体_GB2312"/>
          <w:sz w:val="32"/>
          <w:szCs w:val="32"/>
        </w:rPr>
        <w:t>。</w:t>
      </w:r>
      <w:r>
        <w:rPr>
          <w:rFonts w:ascii="仿宋_GB2312" w:hAnsi="仿宋_GB2312" w:eastAsia="仿宋_GB2312" w:cs="仿宋_GB2312"/>
          <w:b w:val="0"/>
          <w:bCs w:val="0"/>
          <w:sz w:val="32"/>
          <w:szCs w:val="32"/>
        </w:rPr>
        <w:t>加强本市碳普惠体系建设工作的统一组织领导，强化系统谋划和统筹推进。加强相关部门、企业的职责联系和协调配合，积极支持碳普惠体系建设相关工作。</w:t>
      </w:r>
    </w:p>
    <w:p>
      <w:pPr>
        <w:pStyle w:val="4"/>
        <w:widowControl/>
        <w:spacing w:beforeAutospacing="0" w:afterAutospacing="0" w:line="560" w:lineRule="exact"/>
        <w:ind w:firstLine="643" w:firstLineChars="200"/>
        <w:jc w:val="both"/>
        <w:rPr>
          <w:rFonts w:hint="default" w:ascii="仿宋_GB2312" w:hAnsi="仿宋_GB2312" w:eastAsia="仿宋_GB2312" w:cs="仿宋_GB2312"/>
          <w:b w:val="0"/>
          <w:bCs w:val="0"/>
          <w:sz w:val="32"/>
          <w:szCs w:val="32"/>
        </w:rPr>
      </w:pPr>
      <w:r>
        <w:rPr>
          <w:rFonts w:hint="default" w:ascii="楷体_GB2312" w:hAnsi="楷体_GB2312" w:eastAsia="楷体_GB2312" w:cs="楷体_GB2312"/>
          <w:sz w:val="32"/>
          <w:szCs w:val="32"/>
        </w:rPr>
        <w:t>（二）强化政策激励</w:t>
      </w:r>
      <w:r>
        <w:rPr>
          <w:rFonts w:ascii="楷体_GB2312" w:hAnsi="楷体_GB2312" w:eastAsia="楷体_GB2312" w:cs="楷体_GB2312"/>
          <w:sz w:val="32"/>
          <w:szCs w:val="32"/>
        </w:rPr>
        <w:t>。</w:t>
      </w:r>
      <w:r>
        <w:rPr>
          <w:rFonts w:ascii="仿宋_GB2312" w:hAnsi="仿宋_GB2312" w:eastAsia="仿宋_GB2312" w:cs="仿宋_GB2312"/>
          <w:b w:val="0"/>
          <w:bCs w:val="0"/>
          <w:sz w:val="32"/>
          <w:szCs w:val="32"/>
        </w:rPr>
        <w:t>各相关部门做好建设我市碳普惠体系建设的支撑保障工作，充分发挥碳普惠促进碳达峰碳中和的作用。积极吸引社会资本参与，保障南昌碳普惠机制市场化的可持续性。</w:t>
      </w:r>
    </w:p>
    <w:p>
      <w:pPr>
        <w:pStyle w:val="4"/>
        <w:widowControl/>
        <w:spacing w:beforeAutospacing="0" w:afterAutospacing="0" w:line="560" w:lineRule="exact"/>
        <w:ind w:firstLine="643" w:firstLineChars="200"/>
        <w:jc w:val="both"/>
        <w:rPr>
          <w:rFonts w:hint="default" w:ascii="仿宋_GB2312" w:hAnsi="仿宋_GB2312" w:eastAsia="仿宋_GB2312" w:cs="仿宋_GB2312"/>
          <w:b w:val="0"/>
          <w:bCs w:val="0"/>
          <w:sz w:val="32"/>
          <w:szCs w:val="32"/>
        </w:rPr>
      </w:pPr>
      <w:r>
        <w:rPr>
          <w:rFonts w:hint="default" w:ascii="楷体_GB2312" w:hAnsi="楷体_GB2312" w:eastAsia="楷体_GB2312" w:cs="楷体_GB2312"/>
          <w:sz w:val="32"/>
          <w:szCs w:val="32"/>
        </w:rPr>
        <w:t>（三）创新金融激励</w:t>
      </w:r>
      <w:r>
        <w:rPr>
          <w:rFonts w:ascii="楷体_GB2312" w:hAnsi="楷体_GB2312" w:eastAsia="楷体_GB2312" w:cs="楷体_GB2312"/>
          <w:sz w:val="32"/>
          <w:szCs w:val="32"/>
        </w:rPr>
        <w:t>。</w:t>
      </w:r>
      <w:r>
        <w:rPr>
          <w:rFonts w:ascii="仿宋_GB2312" w:hAnsi="仿宋_GB2312" w:eastAsia="仿宋_GB2312" w:cs="仿宋_GB2312"/>
          <w:b w:val="0"/>
          <w:bCs w:val="0"/>
          <w:sz w:val="32"/>
          <w:szCs w:val="32"/>
        </w:rPr>
        <w:t>建立健全碳普惠体系相关金融支持机制，鼓励金融机构开发基于碳普惠核证减排量、碳积分等的创新性碳普惠金融产品和服务，创设有特色的低碳应用场景。</w:t>
      </w:r>
    </w:p>
    <w:p>
      <w:pPr>
        <w:pStyle w:val="4"/>
        <w:widowControl/>
        <w:spacing w:beforeAutospacing="0" w:afterAutospacing="0" w:line="560" w:lineRule="exact"/>
        <w:ind w:firstLine="643" w:firstLineChars="200"/>
        <w:jc w:val="both"/>
      </w:pPr>
      <w:r>
        <w:rPr>
          <w:rFonts w:hint="default" w:ascii="楷体_GB2312" w:hAnsi="楷体_GB2312" w:eastAsia="楷体_GB2312" w:cs="楷体_GB2312"/>
          <w:sz w:val="32"/>
          <w:szCs w:val="32"/>
        </w:rPr>
        <w:t>（四）注重引导宣传</w:t>
      </w:r>
      <w:r>
        <w:rPr>
          <w:rFonts w:ascii="楷体_GB2312" w:hAnsi="楷体_GB2312" w:eastAsia="楷体_GB2312" w:cs="楷体_GB2312"/>
          <w:sz w:val="32"/>
          <w:szCs w:val="32"/>
        </w:rPr>
        <w:t>。</w:t>
      </w:r>
      <w:r>
        <w:rPr>
          <w:rFonts w:hint="default" w:ascii="仿宋_GB2312" w:hAnsi="仿宋_GB2312" w:eastAsia="仿宋_GB2312" w:cs="仿宋_GB2312"/>
          <w:b w:val="0"/>
          <w:bCs w:val="0"/>
          <w:sz w:val="32"/>
          <w:szCs w:val="32"/>
        </w:rPr>
        <w:t>充分利用各大媒体平台，结合世界环境日、全国低碳日、节能宣传周、全国生态日等重要活动，加大</w:t>
      </w:r>
      <w:r>
        <w:rPr>
          <w:rFonts w:ascii="仿宋_GB2312" w:hAnsi="仿宋_GB2312" w:eastAsia="仿宋_GB2312" w:cs="仿宋_GB2312"/>
          <w:b w:val="0"/>
          <w:bCs w:val="0"/>
          <w:sz w:val="32"/>
          <w:szCs w:val="32"/>
        </w:rPr>
        <w:t>南昌</w:t>
      </w:r>
      <w:r>
        <w:rPr>
          <w:rFonts w:hint="default" w:ascii="仿宋_GB2312" w:hAnsi="仿宋_GB2312" w:eastAsia="仿宋_GB2312" w:cs="仿宋_GB2312"/>
          <w:b w:val="0"/>
          <w:bCs w:val="0"/>
          <w:sz w:val="32"/>
          <w:szCs w:val="32"/>
        </w:rPr>
        <w:t>市碳普惠体系的政策解读和宣传力度，积极推广碳普惠平台，提升平台影响力，持续营造全民参与的浓厚氛围。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92D18E"/>
    <w:multiLevelType w:val="singleLevel"/>
    <w:tmpl w:val="2F92D18E"/>
    <w:lvl w:ilvl="0" w:tentative="0">
      <w:start w:val="1"/>
      <w:numFmt w:val="chineseCounting"/>
      <w:suff w:val="nothing"/>
      <w:lvlText w:val="%1、"/>
      <w:lvlJc w:val="left"/>
      <w:pPr>
        <w:ind w:left="-66" w:firstLine="420"/>
      </w:pPr>
      <w:rPr>
        <w:rFonts w:hint="eastAsia"/>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0635D9"/>
    <w:rsid w:val="10790FA7"/>
    <w:rsid w:val="11BE7D6A"/>
    <w:rsid w:val="122F279E"/>
    <w:rsid w:val="250635D9"/>
    <w:rsid w:val="43BE522E"/>
    <w:rsid w:val="5AA117C0"/>
    <w:rsid w:val="5E2F63C6"/>
    <w:rsid w:val="5E92175D"/>
    <w:rsid w:val="6498465C"/>
    <w:rsid w:val="68456BC4"/>
    <w:rsid w:val="6F6A5F0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1"/>
    <w:pPr>
      <w:autoSpaceDE w:val="0"/>
      <w:autoSpaceDN w:val="0"/>
      <w:spacing w:before="67"/>
      <w:ind w:left="947" w:right="353"/>
      <w:jc w:val="center"/>
      <w:outlineLvl w:val="0"/>
    </w:pPr>
    <w:rPr>
      <w:rFonts w:ascii="宋体" w:hAnsi="宋体" w:cs="宋体"/>
      <w:kern w:val="0"/>
      <w:sz w:val="39"/>
      <w:szCs w:val="39"/>
    </w:rPr>
  </w:style>
  <w:style w:type="paragraph" w:styleId="4">
    <w:name w:val="heading 2"/>
    <w:basedOn w:val="1"/>
    <w:next w:val="1"/>
    <w:qFormat/>
    <w:uiPriority w:val="9"/>
    <w:pPr>
      <w:spacing w:beforeAutospacing="1" w:afterAutospacing="1"/>
      <w:jc w:val="left"/>
      <w:outlineLvl w:val="1"/>
    </w:pPr>
    <w:rPr>
      <w:rFonts w:hint="eastAsia" w:ascii="宋体" w:hAnsi="宋体" w:eastAsia="宋体" w:cs="Times New Roman"/>
      <w:b/>
      <w:bCs/>
      <w:kern w:val="0"/>
      <w:sz w:val="36"/>
      <w:szCs w:val="36"/>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toc 2"/>
    <w:basedOn w:val="1"/>
    <w:next w:val="1"/>
    <w:qFormat/>
    <w:uiPriority w:val="0"/>
    <w:pPr>
      <w:tabs>
        <w:tab w:val="right" w:leader="dot" w:pos="8834"/>
      </w:tabs>
    </w:pPr>
    <w:rPr>
      <w:rFonts w:ascii="黑体" w:eastAsia="楷体_GB2312"/>
      <w:sz w:val="28"/>
    </w:rPr>
  </w:style>
  <w:style w:type="paragraph" w:styleId="5">
    <w:name w:val="Body Text"/>
    <w:basedOn w:val="1"/>
    <w:qFormat/>
    <w:uiPriority w:val="99"/>
  </w:style>
  <w:style w:type="paragraph" w:styleId="6">
    <w:name w:val="Body Text Indent"/>
    <w:basedOn w:val="1"/>
    <w:qFormat/>
    <w:uiPriority w:val="0"/>
    <w:pPr>
      <w:spacing w:after="120" w:afterLines="0" w:afterAutospacing="0"/>
      <w:ind w:left="420" w:leftChars="200"/>
    </w:pPr>
  </w:style>
  <w:style w:type="paragraph" w:styleId="7">
    <w:name w:val="footer"/>
    <w:basedOn w:val="1"/>
    <w:unhideWhenUsed/>
    <w:qFormat/>
    <w:uiPriority w:val="0"/>
    <w:pPr>
      <w:tabs>
        <w:tab w:val="center" w:pos="4153"/>
        <w:tab w:val="right" w:pos="8306"/>
      </w:tabs>
      <w:snapToGrid w:val="0"/>
      <w:jc w:val="left"/>
    </w:pPr>
    <w:rPr>
      <w:sz w:val="18"/>
      <w:szCs w:val="18"/>
    </w:rPr>
  </w:style>
  <w:style w:type="paragraph" w:styleId="8">
    <w:name w:val="footnote text"/>
    <w:basedOn w:val="1"/>
    <w:next w:val="9"/>
    <w:qFormat/>
    <w:uiPriority w:val="0"/>
    <w:pPr>
      <w:widowControl w:val="0"/>
      <w:snapToGrid w:val="0"/>
      <w:jc w:val="left"/>
    </w:pPr>
    <w:rPr>
      <w:rFonts w:ascii="Times New Roman" w:hAnsi="Times New Roman" w:eastAsia="宋体" w:cs="Times New Roman"/>
      <w:kern w:val="2"/>
      <w:sz w:val="18"/>
      <w:szCs w:val="18"/>
      <w:lang w:val="en-US" w:eastAsia="zh-CN" w:bidi="ar-SA"/>
    </w:rPr>
  </w:style>
  <w:style w:type="paragraph" w:styleId="9">
    <w:name w:val="Body Text First Indent 2"/>
    <w:basedOn w:val="6"/>
    <w:qFormat/>
    <w:uiPriority w:val="0"/>
    <w:pPr>
      <w:ind w:firstLine="420" w:firstLineChars="200"/>
    </w:pPr>
  </w:style>
  <w:style w:type="table" w:styleId="11">
    <w:name w:val="Table Grid"/>
    <w:basedOn w:val="10"/>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3">
    <w:name w:val="footnote reference"/>
    <w:basedOn w:val="12"/>
    <w:qFormat/>
    <w:uiPriority w:val="0"/>
    <w:rPr>
      <w:vertAlign w:val="superscript"/>
    </w:rPr>
  </w:style>
  <w:style w:type="paragraph" w:customStyle="1" w:styleId="14">
    <w:name w:val="表格文字"/>
    <w:basedOn w:val="1"/>
    <w:next w:val="5"/>
    <w:qFormat/>
    <w:uiPriority w:val="99"/>
    <w:pPr>
      <w:spacing w:before="25" w:after="25"/>
      <w:jc w:val="left"/>
    </w:pPr>
    <w:rPr>
      <w:spacing w:val="10"/>
      <w:kern w:val="0"/>
      <w:sz w:val="24"/>
    </w:rPr>
  </w:style>
  <w:style w:type="paragraph" w:customStyle="1" w:styleId="15">
    <w:name w:val="Default"/>
    <w:qFormat/>
    <w:uiPriority w:val="0"/>
    <w:pPr>
      <w:widowControl w:val="0"/>
      <w:autoSpaceDE w:val="0"/>
      <w:autoSpaceDN w:val="0"/>
      <w:adjustRightInd w:val="0"/>
    </w:pPr>
    <w:rPr>
      <w:rFonts w:hint="eastAsia" w:ascii="宋体" w:hAnsi="宋体" w:eastAsia="宋体" w:cs="Times New Roman"/>
      <w:color w:val="000000"/>
      <w:sz w:val="24"/>
      <w:szCs w:val="22"/>
      <w:lang w:val="en-US" w:eastAsia="zh-CN" w:bidi="ar-SA"/>
    </w:rPr>
  </w:style>
  <w:style w:type="character" w:customStyle="1" w:styleId="16">
    <w:name w:val="font21"/>
    <w:basedOn w:val="12"/>
    <w:qFormat/>
    <w:uiPriority w:val="0"/>
    <w:rPr>
      <w:rFonts w:hint="eastAsia" w:ascii="仿宋_GB2312" w:eastAsia="仿宋_GB2312" w:cs="仿宋_GB2312"/>
      <w:color w:val="000000"/>
      <w:sz w:val="24"/>
      <w:szCs w:val="24"/>
      <w:u w:val="none"/>
    </w:rPr>
  </w:style>
  <w:style w:type="character" w:customStyle="1" w:styleId="17">
    <w:name w:val="font11"/>
    <w:basedOn w:val="12"/>
    <w:qFormat/>
    <w:uiPriority w:val="0"/>
    <w:rPr>
      <w:rFonts w:hint="eastAsia" w:ascii="仿宋_GB2312" w:eastAsia="仿宋_GB2312" w:cs="仿宋_GB2312"/>
      <w:color w:val="000000"/>
      <w:sz w:val="24"/>
      <w:szCs w:val="24"/>
      <w:u w:val="none"/>
    </w:rPr>
  </w:style>
  <w:style w:type="character" w:customStyle="1" w:styleId="18">
    <w:name w:val="font31"/>
    <w:basedOn w:val="12"/>
    <w:qFormat/>
    <w:uiPriority w:val="0"/>
    <w:rPr>
      <w:rFonts w:hint="eastAsia" w:ascii="仿宋_GB2312" w:eastAsia="仿宋_GB2312" w:cs="仿宋_GB2312"/>
      <w:color w:val="000000"/>
      <w:sz w:val="24"/>
      <w:szCs w:val="24"/>
      <w:u w:val="none"/>
    </w:rPr>
  </w:style>
  <w:style w:type="character" w:customStyle="1" w:styleId="19">
    <w:name w:val="font41"/>
    <w:basedOn w:val="12"/>
    <w:qFormat/>
    <w:uiPriority w:val="0"/>
    <w:rPr>
      <w:rFonts w:hint="eastAsia" w:ascii="宋体" w:hAnsi="宋体" w:eastAsia="宋体" w:cs="宋体"/>
      <w:color w:val="000000"/>
      <w:sz w:val="24"/>
      <w:szCs w:val="24"/>
      <w:u w:val="none"/>
    </w:rPr>
  </w:style>
  <w:style w:type="character" w:customStyle="1" w:styleId="20">
    <w:name w:val="正文文本 字符"/>
    <w:semiHidden/>
    <w:qFormat/>
    <w:uiPriority w:val="99"/>
  </w:style>
  <w:style w:type="paragraph" w:customStyle="1" w:styleId="21">
    <w:name w:val="列表段落1"/>
    <w:basedOn w:val="1"/>
    <w:qFormat/>
    <w:uiPriority w:val="34"/>
    <w:pPr>
      <w:ind w:firstLine="420" w:firstLineChars="200"/>
    </w:pPr>
  </w:style>
  <w:style w:type="paragraph" w:customStyle="1" w:styleId="22">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142</TotalTime>
  <ScaleCrop>false</ScaleCrop>
  <LinksUpToDate>false</LinksUpToDate>
  <CharactersWithSpaces>0</CharactersWithSpaces>
  <Application>WPS Office_12.8.2.16981_F1E327BC-269C-435d-A152-05C5408002CA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2024-12-24T12:22:00Z</dcterms:created>
  <dc:creator>|ω･`)</dc:creator>
  <cp:lastModifiedBy>|ω･`)</cp:lastModifiedBy>
  <cp:lastPrinted>2025-02-27T03:58:00Z</cp:lastPrinted>
  <dcterms:modified xsi:type="dcterms:W3CDTF">2025-03-12T02:10:51Z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2052-12.8.2.16981</vt:lpwstr>
  </property>
  <property fmtid="{D5CDD505-2E9C-101B-9397-08002B2CF9AE}" pid="3" name="ICV">
    <vt:lpwstr>94D6C0100C624E1797491AC718BE5A4F_13</vt:lpwstr>
  </property>
</Properties>
</file>