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《南昌市碳普惠体系建设工作方案》</w:t>
      </w:r>
    </w:p>
    <w:p>
      <w:pPr>
        <w:pStyle w:val="14"/>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的起草说明</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lang w:eastAsia="zh-CN"/>
        </w:rPr>
      </w:pPr>
      <w:r>
        <w:rPr>
          <w:rFonts w:hint="eastAsia" w:ascii="仿宋_GB2312" w:hAnsi="仿宋" w:eastAsia="仿宋_GB2312"/>
          <w:sz w:val="32"/>
          <w:szCs w:val="32"/>
        </w:rPr>
        <w:t>为深化生态文明体制机制改革，加快推动全社会绿色低碳转型，我局</w:t>
      </w:r>
      <w:r>
        <w:rPr>
          <w:rFonts w:hint="eastAsia" w:ascii="仿宋_GB2312" w:hAnsi="仿宋" w:eastAsia="仿宋_GB2312"/>
          <w:sz w:val="32"/>
          <w:szCs w:val="32"/>
          <w:lang w:eastAsia="zh-CN"/>
        </w:rPr>
        <w:t>组织市林投公司</w:t>
      </w:r>
      <w:r>
        <w:rPr>
          <w:rFonts w:hint="eastAsia" w:ascii="仿宋_GB2312" w:hAnsi="仿宋" w:eastAsia="仿宋_GB2312"/>
          <w:sz w:val="32"/>
          <w:szCs w:val="32"/>
        </w:rPr>
        <w:t>研究起草了《南昌市碳普惠体系建设工作方案》（以下简称“《</w:t>
      </w:r>
      <w:r>
        <w:rPr>
          <w:rFonts w:hint="eastAsia" w:ascii="仿宋_GB2312" w:hAnsi="仿宋" w:eastAsia="仿宋_GB2312"/>
          <w:sz w:val="32"/>
          <w:szCs w:val="32"/>
          <w:lang w:eastAsia="zh-CN"/>
        </w:rPr>
        <w:t>工作方案</w:t>
      </w:r>
      <w:r>
        <w:rPr>
          <w:rFonts w:hint="eastAsia" w:ascii="仿宋_GB2312" w:hAnsi="仿宋" w:eastAsia="仿宋_GB2312"/>
          <w:sz w:val="32"/>
          <w:szCs w:val="32"/>
        </w:rPr>
        <w:t>》”）</w:t>
      </w:r>
      <w:r>
        <w:rPr>
          <w:rFonts w:hint="eastAsia" w:ascii="仿宋_GB2312" w:hAnsi="仿宋" w:eastAsia="仿宋_GB231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工作背景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碳普惠通过市场机制对个人的低碳行为进行普惠性质激励，有利于提高公众意识，促进公众参与碳减排活动，推动生活方式和消费模式绿色低碳转型。</w:t>
      </w:r>
      <w:r>
        <w:rPr>
          <w:rFonts w:hint="default" w:ascii="仿宋_GB2312" w:hAnsi="仿宋_GB2312" w:eastAsia="仿宋_GB2312" w:cs="仿宋_GB2312"/>
          <w:color w:val="000000"/>
          <w:sz w:val="32"/>
          <w:szCs w:val="32"/>
          <w:lang w:eastAsia="zh-CN"/>
        </w:rPr>
        <w:t>近年来，广东、上海、北京、天津等多个省市均发布了碳普惠制度相关文件，开展了形式多样、各具特色的探索实践，在核算方法、平台建设、交易机制、运行模式等方面均有较大不同。部分地区对碳普惠机制减排量，除了将其转化为碳积分用以兑换优惠外，还在积极探索将其用于试点碳排放权交易市场配额清缴抵销、企业或个人履行社会责任等。2024年7月19日，省生态环境厅发布了《</w:t>
      </w:r>
      <w:bookmarkStart w:id="0" w:name="OLE_LINK1"/>
      <w:r>
        <w:rPr>
          <w:rFonts w:hint="default" w:ascii="仿宋_GB2312" w:hAnsi="仿宋_GB2312" w:eastAsia="仿宋_GB2312" w:cs="仿宋_GB2312"/>
          <w:color w:val="000000"/>
          <w:sz w:val="32"/>
          <w:szCs w:val="32"/>
          <w:lang w:eastAsia="zh-CN"/>
        </w:rPr>
        <w:t>江西省生态环境厅关于开展江西省温室气体自愿减排项目开发试点工作的通知</w:t>
      </w:r>
      <w:bookmarkEnd w:id="0"/>
      <w:r>
        <w:rPr>
          <w:rFonts w:hint="default" w:ascii="仿宋_GB2312" w:hAnsi="仿宋_GB2312" w:eastAsia="仿宋_GB2312" w:cs="仿宋_GB2312"/>
          <w:color w:val="000000"/>
          <w:sz w:val="32"/>
          <w:szCs w:val="32"/>
          <w:lang w:eastAsia="zh-CN"/>
        </w:rPr>
        <w:t>》，明确了拟组织制定并发布江西核证自愿减排量方法学技术规范，为省内碳普惠方法学开发奠定了基础。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color w:val="000000"/>
          <w:kern w:val="0"/>
          <w:sz w:val="32"/>
          <w:szCs w:val="32"/>
          <w:shd w:val="clear" w:color="auto" w:fill="FFFFFF"/>
          <w:lang w:val="en-US" w:eastAsia="zh-CN"/>
        </w:rPr>
        <w:t>我市前期主要依托绿宝碳汇平台在公共机构开展碳普惠机制推广工作。绿宝碳汇平台将公共机构及干部职工的绿色办公、绿色出行、生活垃圾分类、制止餐饮浪费等绿色低碳行为转化为碳积分，干部职工可利用碳积分参加网上助农产品销售、话费充值、新能源汽车充电等项目优惠活动，形成“谁降碳、谁受益”的良好氛围。但绿宝碳汇存在参与主体受限、碳减排量与碳积分之间换算不够精确、激励方式有限、市场机制不完善等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kern w:val="0"/>
          <w:sz w:val="32"/>
          <w:szCs w:val="32"/>
          <w:shd w:val="clear" w:color="auto" w:fill="FFFFFF"/>
          <w:lang w:val="en-US" w:eastAsia="zh-CN"/>
        </w:rPr>
        <w:t>为在我市倡导绿色消费，推动形成绿色低碳的生产和生活方式，打造碳普惠数据空间，发挥省会城市引领作用，稳妥有序推进我市碳普惠工作，制定此《工作方案》。</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起草经过</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2024年7月，收到省生态环境厅发来的《江西省生态环境厅关于开展江西省</w:t>
      </w:r>
      <w:bookmarkStart w:id="1" w:name="OLE_LINK2"/>
      <w:r>
        <w:rPr>
          <w:rFonts w:hint="eastAsia" w:ascii="仿宋_GB2312" w:hAnsi="仿宋_GB2312" w:eastAsia="仿宋_GB2312" w:cs="仿宋_GB2312"/>
          <w:color w:val="000000"/>
          <w:sz w:val="32"/>
          <w:szCs w:val="32"/>
          <w:lang w:val="en-US" w:eastAsia="zh-CN"/>
        </w:rPr>
        <w:t>温室气体自愿减排项目开发试点</w:t>
      </w:r>
      <w:bookmarkEnd w:id="1"/>
      <w:r>
        <w:rPr>
          <w:rFonts w:hint="eastAsia" w:ascii="仿宋_GB2312" w:hAnsi="仿宋_GB2312" w:eastAsia="仿宋_GB2312" w:cs="仿宋_GB2312"/>
          <w:color w:val="000000"/>
          <w:sz w:val="32"/>
          <w:szCs w:val="32"/>
          <w:lang w:val="en-US" w:eastAsia="zh-CN"/>
        </w:rPr>
        <w:t>工作的通知》，市林投公司主动作为，与我局多次沟通，意愿申报江西省温室气体自愿减排项目开发试点。9月，初步计划成型后，我局会同林投公司前往省生态环境厅</w:t>
      </w:r>
      <w:bookmarkStart w:id="2" w:name="OLE_LINK3"/>
      <w:r>
        <w:rPr>
          <w:rFonts w:hint="eastAsia" w:ascii="仿宋_GB2312" w:hAnsi="仿宋_GB2312" w:eastAsia="仿宋_GB2312" w:cs="仿宋_GB2312"/>
          <w:color w:val="000000"/>
          <w:sz w:val="32"/>
          <w:szCs w:val="32"/>
          <w:lang w:val="en-US" w:eastAsia="zh-CN"/>
        </w:rPr>
        <w:t>气候处</w:t>
      </w:r>
      <w:bookmarkEnd w:id="2"/>
      <w:r>
        <w:rPr>
          <w:rFonts w:hint="eastAsia" w:ascii="仿宋_GB2312" w:hAnsi="仿宋_GB2312" w:eastAsia="仿宋_GB2312" w:cs="仿宋_GB2312"/>
          <w:color w:val="000000"/>
          <w:sz w:val="32"/>
          <w:szCs w:val="32"/>
          <w:lang w:val="en-US" w:eastAsia="zh-CN"/>
        </w:rPr>
        <w:t>汇报温室气体自愿减排试点申报意愿，并向气候处确定了碳汇消纳渠道、申报流程等。11月，收到市领导在《关于建设南昌市碳普惠综合服务平台的报告（市政公用集团专报第116期）》上的批示抄清，同意建设南昌碳普惠平台，我局组织市林投公司开展《</w:t>
      </w:r>
      <w:r>
        <w:rPr>
          <w:rFonts w:hint="eastAsia" w:ascii="仿宋_GB2312" w:hAnsi="仿宋_GB2312" w:eastAsia="仿宋_GB2312" w:cs="仿宋_GB2312"/>
          <w:color w:val="000000"/>
          <w:kern w:val="0"/>
          <w:sz w:val="32"/>
          <w:szCs w:val="32"/>
          <w:shd w:val="clear" w:color="auto" w:fill="FFFFFF"/>
          <w:lang w:val="en-US" w:eastAsia="zh-CN"/>
        </w:rPr>
        <w:t>工作方案</w:t>
      </w:r>
      <w:r>
        <w:rPr>
          <w:rFonts w:hint="eastAsia" w:ascii="仿宋_GB2312" w:hAnsi="仿宋_GB2312" w:eastAsia="仿宋_GB2312" w:cs="仿宋_GB2312"/>
          <w:color w:val="000000"/>
          <w:sz w:val="32"/>
          <w:szCs w:val="32"/>
          <w:lang w:val="en-US" w:eastAsia="zh-CN"/>
        </w:rPr>
        <w:t>》编制。2025年1月13日、2025年1月26日就《工作方案》两轮发市有关单位征求意见，共收到修改意见17条，采纳意见16条，1条不采纳。市政数局提出</w:t>
      </w:r>
      <w:r>
        <w:rPr>
          <w:rFonts w:hint="default" w:ascii="仿宋_GB2312" w:hAnsi="仿宋_GB2312" w:eastAsia="仿宋_GB2312" w:cs="仿宋_GB2312"/>
          <w:color w:val="000000"/>
          <w:sz w:val="32"/>
          <w:szCs w:val="32"/>
          <w:lang w:val="en-US" w:eastAsia="zh-CN"/>
        </w:rPr>
        <w:t>“建议由“碳普惠综合服务平台”进行统筹，调整为开发“碳普惠服务模块”“数字碳管理模块”“碳金融服务模块”；”</w:t>
      </w:r>
      <w:r>
        <w:rPr>
          <w:rFonts w:hint="eastAsia" w:ascii="仿宋_GB2312" w:hAnsi="仿宋_GB2312" w:eastAsia="仿宋_GB2312" w:cs="仿宋_GB2312"/>
          <w:b/>
          <w:bCs/>
          <w:color w:val="000000"/>
          <w:sz w:val="32"/>
          <w:szCs w:val="32"/>
          <w:lang w:val="en-US" w:eastAsia="zh-CN"/>
        </w:rPr>
        <w:t>我局不采纳，</w:t>
      </w:r>
      <w:r>
        <w:rPr>
          <w:rFonts w:hint="eastAsia" w:ascii="仿宋_GB2312" w:hAnsi="仿宋_GB2312" w:eastAsia="仿宋_GB2312" w:cs="仿宋_GB2312"/>
          <w:color w:val="000000"/>
          <w:sz w:val="32"/>
          <w:szCs w:val="32"/>
          <w:lang w:val="en-US" w:eastAsia="zh-CN"/>
        </w:rPr>
        <w:t>理由</w:t>
      </w:r>
      <w:r>
        <w:rPr>
          <w:rFonts w:hint="eastAsia" w:ascii="仿宋_GB2312" w:hAnsi="仿宋_GB2312" w:eastAsia="仿宋_GB2312" w:cs="仿宋_GB2312"/>
          <w:b/>
          <w:bCs/>
          <w:color w:val="000000"/>
          <w:sz w:val="32"/>
          <w:szCs w:val="32"/>
          <w:lang w:val="en-US" w:eastAsia="zh-CN"/>
        </w:rPr>
        <w:t>一是</w:t>
      </w:r>
      <w:r>
        <w:rPr>
          <w:rFonts w:hint="eastAsia" w:ascii="仿宋_GB2312" w:hAnsi="仿宋_GB2312" w:eastAsia="仿宋_GB2312" w:cs="仿宋_GB2312"/>
          <w:color w:val="000000"/>
          <w:sz w:val="32"/>
          <w:szCs w:val="32"/>
          <w:lang w:val="en-US" w:eastAsia="zh-CN"/>
        </w:rPr>
        <w:t>"碳普惠+综合服务平台"作为一个总体性概念，其内涵已涵盖碳普惠平台、碳管理平台及碳金融平台三大功能板块。每个平台均由多个模块构成，以碳普惠平台为例，即包含C端小程序、B端客户端和注册登记系统三个核心模块/子系统。因此，从系统架构完整性和功能集成性考虑，建议维持现有平台化开发方案，以确保各功能模块的系统性和协同性。该意见建议已与市政数局沟通并达成一致意见。</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Times New Roman"/>
          <w:bCs/>
          <w:spacing w:val="0"/>
          <w:w w:val="100"/>
          <w:kern w:val="2"/>
          <w:sz w:val="32"/>
          <w:szCs w:val="32"/>
          <w:highlight w:val="none"/>
          <w:lang w:val="zh-CN" w:eastAsia="zh-CN"/>
        </w:rPr>
      </w:pPr>
      <w:r>
        <w:rPr>
          <w:rFonts w:hint="eastAsia" w:ascii="仿宋_GB2312" w:hAnsi="Calibri" w:eastAsia="仿宋_GB2312" w:cs="Times New Roman"/>
          <w:bCs/>
          <w:spacing w:val="0"/>
          <w:w w:val="100"/>
          <w:kern w:val="2"/>
          <w:sz w:val="32"/>
          <w:szCs w:val="32"/>
          <w:highlight w:val="none"/>
          <w:lang w:val="zh-CN" w:eastAsia="zh-CN"/>
        </w:rPr>
        <w:t>《</w:t>
      </w:r>
      <w:r>
        <w:rPr>
          <w:rFonts w:hint="eastAsia" w:ascii="仿宋_GB2312" w:hAnsi="仿宋_GB2312" w:eastAsia="仿宋_GB2312" w:cs="仿宋_GB2312"/>
          <w:color w:val="000000"/>
          <w:sz w:val="32"/>
          <w:szCs w:val="32"/>
          <w:lang w:val="en-US" w:eastAsia="zh-CN"/>
        </w:rPr>
        <w:t>工作方案</w:t>
      </w:r>
      <w:r>
        <w:rPr>
          <w:rFonts w:hint="eastAsia" w:ascii="仿宋_GB2312" w:hAnsi="Calibri" w:eastAsia="仿宋_GB2312" w:cs="Times New Roman"/>
          <w:bCs/>
          <w:spacing w:val="0"/>
          <w:w w:val="100"/>
          <w:kern w:val="2"/>
          <w:sz w:val="32"/>
          <w:szCs w:val="32"/>
          <w:highlight w:val="none"/>
          <w:lang w:val="zh-CN" w:eastAsia="zh-CN"/>
        </w:rPr>
        <w:t>》主要由总体要求、总体目标、重点任务及保障措施四部分组成。</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Calibri" w:eastAsia="仿宋_GB2312" w:cs="Times New Roman"/>
          <w:b w:val="0"/>
          <w:bCs/>
          <w:spacing w:val="0"/>
          <w:w w:val="100"/>
          <w:kern w:val="2"/>
          <w:sz w:val="32"/>
          <w:szCs w:val="32"/>
          <w:highlight w:val="none"/>
          <w:lang w:val="zh-CN" w:eastAsia="zh-CN"/>
        </w:rPr>
      </w:pPr>
      <w:r>
        <w:rPr>
          <w:rFonts w:hint="eastAsia" w:ascii="仿宋_GB2312" w:hAnsi="Calibri" w:eastAsia="仿宋_GB2312" w:cs="Times New Roman"/>
          <w:b/>
          <w:bCs w:val="0"/>
          <w:spacing w:val="0"/>
          <w:w w:val="100"/>
          <w:kern w:val="2"/>
          <w:sz w:val="32"/>
          <w:szCs w:val="32"/>
          <w:highlight w:val="none"/>
          <w:lang w:val="en-US" w:eastAsia="zh-CN"/>
        </w:rPr>
        <w:t>第一部分是总体要求。</w:t>
      </w:r>
      <w:r>
        <w:rPr>
          <w:rFonts w:hint="eastAsia" w:ascii="仿宋_GB2312" w:hAnsi="仿宋_GB2312" w:eastAsia="仿宋_GB2312" w:cs="仿宋_GB2312"/>
          <w:sz w:val="32"/>
          <w:szCs w:val="32"/>
          <w:lang w:val="en-US" w:eastAsia="zh-CN"/>
        </w:rPr>
        <w:t>明确了</w:t>
      </w:r>
      <w:r>
        <w:rPr>
          <w:rFonts w:hint="eastAsia" w:ascii="仿宋_GB2312" w:hAnsi="仿宋_GB2312" w:eastAsia="仿宋_GB2312" w:cs="仿宋_GB2312"/>
          <w:sz w:val="32"/>
          <w:szCs w:val="32"/>
        </w:rPr>
        <w:t>以习近平新时代中国特色社会主义思想为指导，按照“政府主导、市场运作、社会参与”的方式，推动我市建立完善的碳普惠体系，</w:t>
      </w:r>
      <w:r>
        <w:rPr>
          <w:rFonts w:hint="eastAsia" w:ascii="仿宋_GB2312" w:hAnsi="仿宋_GB2312" w:eastAsia="仿宋_GB2312" w:cs="仿宋_GB2312"/>
          <w:sz w:val="32"/>
          <w:szCs w:val="32"/>
          <w:lang w:val="en-US" w:eastAsia="zh-CN"/>
        </w:rPr>
        <w:t>提出了“134N”的工作思路。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Calibri" w:eastAsia="仿宋_GB2312" w:cs="Times New Roman"/>
          <w:bCs/>
          <w:spacing w:val="0"/>
          <w:w w:val="100"/>
          <w:kern w:val="2"/>
          <w:sz w:val="32"/>
          <w:szCs w:val="32"/>
          <w:highlight w:val="none"/>
          <w:lang w:val="zh-CN"/>
        </w:rPr>
      </w:pPr>
      <w:r>
        <w:rPr>
          <w:rFonts w:hint="eastAsia" w:ascii="仿宋_GB2312" w:hAnsi="Calibri" w:eastAsia="仿宋_GB2312" w:cs="Times New Roman"/>
          <w:b/>
          <w:bCs w:val="0"/>
          <w:spacing w:val="0"/>
          <w:w w:val="100"/>
          <w:kern w:val="2"/>
          <w:sz w:val="32"/>
          <w:szCs w:val="32"/>
          <w:highlight w:val="none"/>
          <w:lang w:val="en-US" w:eastAsia="zh-CN"/>
        </w:rPr>
        <w:t>第二部分是总体目标。</w:t>
      </w:r>
      <w:r>
        <w:rPr>
          <w:rFonts w:hint="eastAsia" w:ascii="仿宋_GB2312" w:hAnsi="Calibri" w:eastAsia="仿宋_GB2312" w:cs="Times New Roman"/>
          <w:bCs/>
          <w:spacing w:val="0"/>
          <w:w w:val="100"/>
          <w:kern w:val="2"/>
          <w:sz w:val="32"/>
          <w:szCs w:val="32"/>
          <w:highlight w:val="none"/>
          <w:lang w:val="en-US" w:eastAsia="zh-CN"/>
        </w:rPr>
        <w:t>力争到2027年，建成结构完善、科学规范、亮点突出的碳普惠结构体系。探索形成10个以上碳普惠方法学和碳减排场景评价规范，开发构建30个以上重点领域碳减排项目和应用场景。争取个人端碳普惠小程序市民覆盖率达到30%以上，服务规上企业50家以上、中小微企业500家以上，</w:t>
      </w:r>
      <w:r>
        <w:rPr>
          <w:rFonts w:hint="eastAsia" w:ascii="仿宋_GB2312" w:hAnsi="Calibri" w:eastAsia="仿宋_GB2312" w:cs="Times New Roman"/>
          <w:bCs/>
          <w:spacing w:val="0"/>
          <w:w w:val="100"/>
          <w:kern w:val="2"/>
          <w:sz w:val="32"/>
          <w:szCs w:val="32"/>
          <w:highlight w:val="none"/>
          <w:lang w:val="zh-CN"/>
        </w:rPr>
        <w:t>助力南昌市经济社会绿色可持续发展和“双碳”目标实现。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Calibri" w:eastAsia="仿宋_GB2312" w:cs="Times New Roman"/>
          <w:bCs/>
          <w:spacing w:val="0"/>
          <w:w w:val="100"/>
          <w:kern w:val="2"/>
          <w:sz w:val="32"/>
          <w:szCs w:val="32"/>
          <w:highlight w:val="none"/>
          <w:lang w:val="en-US" w:eastAsia="zh-CN"/>
        </w:rPr>
      </w:pPr>
      <w:r>
        <w:rPr>
          <w:rFonts w:hint="eastAsia" w:ascii="仿宋_GB2312" w:hAnsi="Calibri" w:eastAsia="仿宋_GB2312" w:cs="Times New Roman"/>
          <w:b/>
          <w:bCs w:val="0"/>
          <w:spacing w:val="0"/>
          <w:w w:val="100"/>
          <w:kern w:val="2"/>
          <w:sz w:val="32"/>
          <w:szCs w:val="32"/>
          <w:highlight w:val="none"/>
          <w:lang w:val="en-US" w:eastAsia="zh-CN"/>
        </w:rPr>
        <w:t>第三部分是重点任务。</w:t>
      </w:r>
      <w:r>
        <w:rPr>
          <w:rFonts w:hint="eastAsia" w:ascii="仿宋_GB2312" w:hAnsi="Calibri" w:eastAsia="仿宋_GB2312" w:cs="Times New Roman"/>
          <w:b w:val="0"/>
          <w:bCs/>
          <w:spacing w:val="0"/>
          <w:w w:val="100"/>
          <w:kern w:val="2"/>
          <w:sz w:val="32"/>
          <w:szCs w:val="32"/>
          <w:highlight w:val="none"/>
          <w:lang w:val="en-US" w:eastAsia="zh-CN"/>
        </w:rPr>
        <w:t>重点任务主要有三大块，“组建一家碳普惠公司”、“开发三个碳普惠平台（</w:t>
      </w:r>
      <w:r>
        <w:rPr>
          <w:rFonts w:hint="eastAsia" w:ascii="仿宋_GB2312" w:hAnsi="仿宋_GB2312" w:eastAsia="仿宋_GB2312" w:cs="仿宋_GB2312"/>
          <w:b w:val="0"/>
          <w:bCs/>
          <w:sz w:val="32"/>
          <w:szCs w:val="32"/>
        </w:rPr>
        <w:t>碳普惠服务平台</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数字碳管理平台</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碳金融服务平台</w:t>
      </w:r>
      <w:r>
        <w:rPr>
          <w:rFonts w:hint="eastAsia" w:ascii="仿宋_GB2312" w:hAnsi="Calibri" w:eastAsia="仿宋_GB2312" w:cs="Times New Roman"/>
          <w:b w:val="0"/>
          <w:bCs/>
          <w:spacing w:val="0"/>
          <w:w w:val="100"/>
          <w:kern w:val="2"/>
          <w:sz w:val="32"/>
          <w:szCs w:val="32"/>
          <w:highlight w:val="none"/>
          <w:lang w:val="en-US" w:eastAsia="zh-CN"/>
        </w:rPr>
        <w:t>）”、“建立四大碳普惠体系”（建立碳普惠管理体系、</w:t>
      </w:r>
      <w:r>
        <w:rPr>
          <w:rFonts w:hint="eastAsia" w:ascii="仿宋_GB2312" w:hAnsi="仿宋_GB2312" w:eastAsia="仿宋_GB2312" w:cs="仿宋_GB2312"/>
          <w:b w:val="0"/>
          <w:bCs/>
          <w:spacing w:val="-3"/>
          <w:sz w:val="32"/>
          <w:szCs w:val="32"/>
        </w:rPr>
        <w:t>建立碳普惠产品开发体系</w:t>
      </w:r>
      <w:r>
        <w:rPr>
          <w:rFonts w:hint="eastAsia" w:ascii="仿宋_GB2312" w:hAnsi="仿宋_GB2312" w:eastAsia="仿宋_GB2312" w:cs="仿宋_GB2312"/>
          <w:b w:val="0"/>
          <w:bCs/>
          <w:spacing w:val="-3"/>
          <w:sz w:val="32"/>
          <w:szCs w:val="32"/>
          <w:lang w:eastAsia="zh-CN"/>
        </w:rPr>
        <w:t>、建立碳普惠消纳体系、</w:t>
      </w:r>
      <w:r>
        <w:rPr>
          <w:rFonts w:hint="eastAsia" w:ascii="仿宋_GB2312" w:hAnsi="仿宋_GB2312" w:eastAsia="仿宋_GB2312" w:cs="仿宋_GB2312"/>
          <w:b w:val="0"/>
          <w:bCs/>
          <w:spacing w:val="-3"/>
          <w:sz w:val="32"/>
          <w:szCs w:val="32"/>
        </w:rPr>
        <w:t>建立碳普惠支撑体系</w:t>
      </w:r>
      <w:r>
        <w:rPr>
          <w:rFonts w:hint="eastAsia" w:ascii="仿宋_GB2312" w:hAnsi="Calibri" w:eastAsia="仿宋_GB2312" w:cs="Times New Roman"/>
          <w:b w:val="0"/>
          <w:bCs/>
          <w:spacing w:val="0"/>
          <w:w w:val="100"/>
          <w:kern w:val="2"/>
          <w:sz w:val="32"/>
          <w:szCs w:val="32"/>
          <w:highlight w:val="none"/>
          <w:lang w:val="en-US" w:eastAsia="zh-CN"/>
        </w:rPr>
        <w:t>），也就是“134N”里说的“134”。</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Calibri" w:eastAsia="仿宋_GB2312" w:cs="Times New Roman"/>
          <w:b w:val="0"/>
          <w:bCs/>
          <w:spacing w:val="0"/>
          <w:w w:val="100"/>
          <w:kern w:val="2"/>
          <w:sz w:val="32"/>
          <w:szCs w:val="32"/>
          <w:highlight w:val="none"/>
          <w:lang w:val="en-US" w:eastAsia="zh-CN"/>
        </w:rPr>
      </w:pPr>
      <w:r>
        <w:rPr>
          <w:rFonts w:hint="eastAsia" w:ascii="仿宋_GB2312" w:hAnsi="Calibri" w:eastAsia="仿宋_GB2312" w:cs="Times New Roman"/>
          <w:b/>
          <w:bCs w:val="0"/>
          <w:spacing w:val="0"/>
          <w:w w:val="100"/>
          <w:kern w:val="2"/>
          <w:sz w:val="32"/>
          <w:szCs w:val="32"/>
          <w:highlight w:val="none"/>
          <w:lang w:val="en-US" w:eastAsia="zh-CN"/>
        </w:rPr>
        <w:t>第四部分是保障措施。</w:t>
      </w:r>
      <w:r>
        <w:rPr>
          <w:rFonts w:hint="eastAsia" w:ascii="仿宋_GB2312" w:hAnsi="Calibri" w:eastAsia="仿宋_GB2312" w:cs="Times New Roman"/>
          <w:b w:val="0"/>
          <w:bCs/>
          <w:spacing w:val="0"/>
          <w:w w:val="100"/>
          <w:kern w:val="2"/>
          <w:sz w:val="32"/>
          <w:szCs w:val="32"/>
          <w:highlight w:val="none"/>
          <w:lang w:val="en-US" w:eastAsia="zh-CN"/>
        </w:rPr>
        <w:t>主要是加强统筹指导、强化政策激励、创新金融激励及注重引导宣传。</w:t>
      </w:r>
    </w:p>
    <w:p>
      <w:pPr>
        <w:keepNext w:val="0"/>
        <w:keepLines w:val="0"/>
        <w:pageBreakBefore w:val="0"/>
        <w:widowControl w:val="0"/>
        <w:kinsoku/>
        <w:wordWrap/>
        <w:overflowPunct/>
        <w:topLinePunct w:val="0"/>
        <w:autoSpaceDE/>
        <w:autoSpaceDN/>
        <w:bidi w:val="0"/>
        <w:adjustRightInd/>
        <w:snapToGrid/>
        <w:spacing w:line="560" w:lineRule="exact"/>
        <w:ind w:left="1916" w:leftChars="760" w:hanging="320" w:hangingChars="1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cs="Times New Roman"/>
          <w:sz w:val="32"/>
          <w:szCs w:val="32"/>
          <w:lang w:val="en-US" w:eastAsia="zh-CN"/>
        </w:rPr>
      </w:pPr>
      <w:r>
        <w:rPr>
          <w:rFonts w:hint="eastAsia" w:ascii="仿宋_GB2312" w:eastAsia="仿宋_GB2312"/>
          <w:sz w:val="32"/>
          <w:szCs w:val="32"/>
        </w:rPr>
        <w:t>附件：</w:t>
      </w:r>
      <w:r>
        <w:rPr>
          <w:rFonts w:hint="eastAsia" w:ascii="仿宋_GB2312" w:eastAsia="仿宋_GB2312" w:cs="Times New Roman"/>
          <w:sz w:val="32"/>
          <w:szCs w:val="32"/>
        </w:rPr>
        <w:t>征求意见采纳情况汇总表</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黑体" w:hAnsi="黑体" w:eastAsia="黑体" w:cs="黑体"/>
          <w:sz w:val="32"/>
          <w:szCs w:val="32"/>
          <w:lang w:eastAsia="zh-CN"/>
        </w:rPr>
        <w:sectPr>
          <w:pgSz w:w="11906" w:h="16838"/>
          <w:pgMar w:top="1440" w:right="1800" w:bottom="1440" w:left="1800" w:header="851" w:footer="992" w:gutter="0"/>
          <w:cols w:space="425" w:num="1"/>
          <w:docGrid w:type="lines" w:linePitch="312" w:charSpace="0"/>
        </w:sectPr>
      </w:pPr>
    </w:p>
    <w:p>
      <w:pPr>
        <w:spacing w:line="560" w:lineRule="exact"/>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bookmarkStart w:id="3" w:name="_GoBack"/>
      <w:bookmarkEnd w:id="3"/>
    </w:p>
    <w:tbl>
      <w:tblPr>
        <w:tblStyle w:val="10"/>
        <w:tblW w:w="5000" w:type="pct"/>
        <w:tblInd w:w="0" w:type="dxa"/>
        <w:tblLayout w:type="autofit"/>
        <w:tblCellMar>
          <w:top w:w="0" w:type="dxa"/>
          <w:left w:w="108" w:type="dxa"/>
          <w:bottom w:w="0" w:type="dxa"/>
          <w:right w:w="108" w:type="dxa"/>
        </w:tblCellMar>
      </w:tblPr>
      <w:tblGrid>
        <w:gridCol w:w="706"/>
        <w:gridCol w:w="1069"/>
        <w:gridCol w:w="3855"/>
        <w:gridCol w:w="2892"/>
      </w:tblGrid>
      <w:tr>
        <w:tblPrEx>
          <w:tblCellMar>
            <w:top w:w="0" w:type="dxa"/>
            <w:left w:w="108" w:type="dxa"/>
            <w:bottom w:w="0" w:type="dxa"/>
            <w:right w:w="108" w:type="dxa"/>
          </w:tblCellMar>
        </w:tblPrEx>
        <w:trPr>
          <w:trHeight w:val="540" w:hRule="atLeast"/>
        </w:trPr>
        <w:tc>
          <w:tcPr>
            <w:tcW w:w="5000" w:type="pct"/>
            <w:gridSpan w:val="4"/>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方正小标宋简体" w:hAnsi="方正小标宋简体" w:eastAsia="方正小标宋简体" w:cs="方正小标宋简体"/>
                <w:b w:val="0"/>
                <w:bCs w:val="0"/>
                <w:color w:val="000000"/>
                <w:kern w:val="0"/>
                <w:sz w:val="36"/>
                <w:szCs w:val="36"/>
              </w:rPr>
              <w:t>第一轮征求意见采纳情况汇总表</w:t>
            </w:r>
          </w:p>
        </w:tc>
      </w:tr>
      <w:tr>
        <w:tblPrEx>
          <w:tblCellMar>
            <w:top w:w="0" w:type="dxa"/>
            <w:left w:w="108" w:type="dxa"/>
            <w:bottom w:w="0" w:type="dxa"/>
            <w:right w:w="108" w:type="dxa"/>
          </w:tblCellMar>
        </w:tblPrEx>
        <w:trPr>
          <w:trHeight w:val="23"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序号</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部门</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意见建议</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采纳情况</w:t>
            </w:r>
          </w:p>
        </w:tc>
      </w:tr>
      <w:tr>
        <w:tblPrEx>
          <w:tblCellMar>
            <w:top w:w="0" w:type="dxa"/>
            <w:left w:w="108" w:type="dxa"/>
            <w:bottom w:w="0" w:type="dxa"/>
            <w:right w:w="108" w:type="dxa"/>
          </w:tblCellMar>
        </w:tblPrEx>
        <w:trPr>
          <w:trHeight w:val="23"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市委金融办</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建议将“建立碳普惠支撑体系”第（3）推进碳普惠金融创新中的责任单位加上市生态环境局。</w:t>
            </w:r>
            <w:r>
              <w:rPr>
                <w:rFonts w:hint="eastAsia" w:ascii="仿宋_GB2312" w:hAnsi="仿宋_GB2312" w:eastAsia="仿宋_GB2312" w:cs="仿宋_GB2312"/>
                <w:b w:val="0"/>
                <w:bCs w:val="0"/>
                <w:color w:val="000000"/>
                <w:kern w:val="0"/>
                <w:sz w:val="28"/>
                <w:szCs w:val="28"/>
              </w:rPr>
              <w:br w:type="textWrapping"/>
            </w:r>
            <w:r>
              <w:rPr>
                <w:rFonts w:hint="eastAsia" w:ascii="仿宋_GB2312" w:hAnsi="仿宋_GB2312" w:eastAsia="仿宋_GB2312" w:cs="仿宋_GB2312"/>
                <w:b w:val="0"/>
                <w:bCs w:val="0"/>
                <w:color w:val="000000"/>
                <w:kern w:val="0"/>
                <w:sz w:val="28"/>
                <w:szCs w:val="28"/>
              </w:rPr>
              <w:t>理由：相关工作需行业主管部门配合。</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w:t>
            </w:r>
          </w:p>
        </w:tc>
      </w:tr>
      <w:tr>
        <w:tblPrEx>
          <w:tblCellMar>
            <w:top w:w="0" w:type="dxa"/>
            <w:left w:w="108" w:type="dxa"/>
            <w:bottom w:w="0" w:type="dxa"/>
            <w:right w:w="108" w:type="dxa"/>
          </w:tblCellMar>
        </w:tblPrEx>
        <w:trPr>
          <w:trHeight w:val="23" w:hRule="atLeast"/>
        </w:trPr>
        <w:tc>
          <w:tcPr>
            <w:tcW w:w="414" w:type="pct"/>
            <w:vMerge w:val="restart"/>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2</w:t>
            </w:r>
          </w:p>
        </w:tc>
        <w:tc>
          <w:tcPr>
            <w:tcW w:w="627" w:type="pct"/>
            <w:vMerge w:val="restart"/>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市政数局</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建议由“碳普惠综合服务平台”进行统筹，调整为开发“碳普惠服务模块”“数字碳管理模块”“碳金融服务模块”；</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不采纳，"碳普惠+综合服务平台"作为一个总体性概念，其内涵已涵盖碳普惠平台、碳管理平台及碳金融平台三大功能板块。每个平台均由多个模块构成，以碳普惠平台为例，即包含C端小程序、B端客户端和注册登记系统三个核心模块/子系统。因此，从系统架构完整性和功能集成性考虑，建议维持现有平台化开发方案，以确保各功能模块的系统性和协同性。</w:t>
            </w:r>
          </w:p>
        </w:tc>
      </w:tr>
      <w:tr>
        <w:tblPrEx>
          <w:tblCellMar>
            <w:top w:w="0" w:type="dxa"/>
            <w:left w:w="108" w:type="dxa"/>
            <w:bottom w:w="0" w:type="dxa"/>
            <w:right w:w="108" w:type="dxa"/>
          </w:tblCellMar>
        </w:tblPrEx>
        <w:trPr>
          <w:trHeight w:val="23" w:hRule="atLeast"/>
        </w:trPr>
        <w:tc>
          <w:tcPr>
            <w:tcW w:w="414" w:type="pct"/>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627" w:type="pct"/>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b w:val="0"/>
                <w:bCs w:val="0"/>
                <w:color w:val="000000"/>
                <w:kern w:val="0"/>
                <w:sz w:val="28"/>
                <w:szCs w:val="28"/>
                <w:highlight w:val="none"/>
              </w:rPr>
            </w:pPr>
            <w:r>
              <w:rPr>
                <w:rFonts w:hint="eastAsia" w:ascii="仿宋_GB2312" w:hAnsi="仿宋_GB2312" w:eastAsia="仿宋_GB2312" w:cs="仿宋_GB2312"/>
                <w:b w:val="0"/>
                <w:bCs w:val="0"/>
                <w:color w:val="000000"/>
                <w:kern w:val="0"/>
                <w:sz w:val="28"/>
                <w:szCs w:val="28"/>
                <w:highlight w:val="none"/>
              </w:rPr>
              <w:t>“南昌市碳普惠综合服务平台”应与省级碳普惠平台充分融合复用，避免重复建设；</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highlight w:val="none"/>
                <w:lang w:eastAsia="zh-CN"/>
              </w:rPr>
            </w:pPr>
            <w:r>
              <w:rPr>
                <w:rFonts w:hint="eastAsia" w:ascii="仿宋_GB2312" w:hAnsi="仿宋_GB2312" w:eastAsia="仿宋_GB2312" w:cs="仿宋_GB2312"/>
                <w:b w:val="0"/>
                <w:bCs w:val="0"/>
                <w:color w:val="000000"/>
                <w:kern w:val="0"/>
                <w:sz w:val="28"/>
                <w:szCs w:val="28"/>
                <w:highlight w:val="none"/>
                <w:lang w:eastAsia="zh-CN"/>
              </w:rPr>
              <w:t>采纳</w:t>
            </w:r>
          </w:p>
        </w:tc>
      </w:tr>
      <w:tr>
        <w:tblPrEx>
          <w:tblCellMar>
            <w:top w:w="0" w:type="dxa"/>
            <w:left w:w="108" w:type="dxa"/>
            <w:bottom w:w="0" w:type="dxa"/>
            <w:right w:w="108" w:type="dxa"/>
          </w:tblCellMar>
        </w:tblPrEx>
        <w:trPr>
          <w:trHeight w:val="23" w:hRule="atLeast"/>
        </w:trPr>
        <w:tc>
          <w:tcPr>
            <w:tcW w:w="414" w:type="pct"/>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627" w:type="pct"/>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“南昌市碳普惠综合服务平台”应充分考虑与市生态环境局现有功能相关的各非涉密业务系统进行整合，落实“集约节约”，推进“一部门一系统”整合；</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w:t>
            </w:r>
          </w:p>
        </w:tc>
      </w:tr>
      <w:tr>
        <w:tblPrEx>
          <w:tblCellMar>
            <w:top w:w="0" w:type="dxa"/>
            <w:left w:w="108" w:type="dxa"/>
            <w:bottom w:w="0" w:type="dxa"/>
            <w:right w:w="108" w:type="dxa"/>
          </w:tblCellMar>
        </w:tblPrEx>
        <w:trPr>
          <w:trHeight w:val="23" w:hRule="atLeast"/>
        </w:trPr>
        <w:tc>
          <w:tcPr>
            <w:tcW w:w="414" w:type="pct"/>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627" w:type="pct"/>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涉及数字化项目建设，建议明确“南昌市碳普惠综合服务平台”的建设规模、资金来源及项目业主单位，并按照数字化项目申报程序，形成项目技术方案，报市政数局技术评审、市委网信办安全审查、市委保密机要局密码应用安全性评估，并与省级行业主管部门沟通报告获得项目建设意见函或建设确认函。限额以上项目还需专报市委及市政府主要领导，由市政数局汇总后报省政务办论证评估，我局将积极配合。</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lang w:val="en-US" w:eastAsia="zh-CN"/>
              </w:rPr>
            </w:pPr>
            <w:r>
              <w:rPr>
                <w:rFonts w:hint="eastAsia" w:ascii="仿宋_GB2312" w:hAnsi="仿宋_GB2312" w:eastAsia="仿宋_GB2312" w:cs="仿宋_GB2312"/>
                <w:b w:val="0"/>
                <w:bCs w:val="0"/>
                <w:color w:val="000000"/>
                <w:kern w:val="0"/>
                <w:sz w:val="28"/>
                <w:szCs w:val="28"/>
                <w:lang w:val="en-US" w:eastAsia="zh-CN"/>
              </w:rPr>
              <w:t>采纳</w:t>
            </w:r>
          </w:p>
        </w:tc>
      </w:tr>
      <w:tr>
        <w:tblPrEx>
          <w:tblCellMar>
            <w:top w:w="0" w:type="dxa"/>
            <w:left w:w="108" w:type="dxa"/>
            <w:bottom w:w="0" w:type="dxa"/>
            <w:right w:w="108" w:type="dxa"/>
          </w:tblCellMar>
        </w:tblPrEx>
        <w:trPr>
          <w:trHeight w:val="23" w:hRule="atLeast"/>
        </w:trPr>
        <w:tc>
          <w:tcPr>
            <w:tcW w:w="414" w:type="pct"/>
            <w:vMerge w:val="continue"/>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627" w:type="pct"/>
            <w:vMerge w:val="continue"/>
            <w:tcBorders>
              <w:top w:val="nil"/>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highlight w:val="none"/>
              </w:rPr>
            </w:pPr>
            <w:r>
              <w:rPr>
                <w:rFonts w:hint="eastAsia" w:ascii="仿宋_GB2312" w:hAnsi="仿宋_GB2312" w:eastAsia="仿宋_GB2312" w:cs="仿宋_GB2312"/>
                <w:b w:val="0"/>
                <w:bCs w:val="0"/>
                <w:color w:val="000000"/>
                <w:kern w:val="0"/>
                <w:sz w:val="28"/>
                <w:szCs w:val="28"/>
                <w:highlight w:val="none"/>
              </w:rPr>
              <w:t>《南昌市碳普惠体系建设工作方案》第三点“重点任务” 第（二）节“开发三个碳普惠平台”中拟开发面向个人低碳行为的碳普惠小程序，按照数字政府“一市一平台”的建设原则，建议依托“昌通码”平台进行建设，不再单独建设小程序入口。</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highlight w:val="none"/>
                <w:lang w:eastAsia="zh-CN"/>
              </w:rPr>
            </w:pPr>
            <w:r>
              <w:rPr>
                <w:rFonts w:hint="eastAsia" w:ascii="仿宋_GB2312" w:hAnsi="仿宋_GB2312" w:eastAsia="仿宋_GB2312" w:cs="仿宋_GB2312"/>
                <w:b w:val="0"/>
                <w:bCs w:val="0"/>
                <w:color w:val="000000"/>
                <w:kern w:val="0"/>
                <w:sz w:val="28"/>
                <w:szCs w:val="28"/>
                <w:highlight w:val="none"/>
                <w:lang w:eastAsia="zh-CN"/>
              </w:rPr>
              <w:t>采纳</w:t>
            </w:r>
          </w:p>
        </w:tc>
      </w:tr>
      <w:tr>
        <w:tblPrEx>
          <w:tblCellMar>
            <w:top w:w="0" w:type="dxa"/>
            <w:left w:w="108" w:type="dxa"/>
            <w:bottom w:w="0" w:type="dxa"/>
            <w:right w:w="108" w:type="dxa"/>
          </w:tblCellMar>
        </w:tblPrEx>
        <w:trPr>
          <w:trHeight w:val="23"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3</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市财政局</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对《方案》三、重点任务（二）开发三个碳普惠平台中提到</w:t>
            </w:r>
            <w:r>
              <w:rPr>
                <w:rFonts w:hint="eastAsia" w:ascii="仿宋_GB2312" w:hAnsi="仿宋_GB2312" w:eastAsia="仿宋_GB2312" w:cs="仿宋_GB2312"/>
                <w:b w:val="0"/>
                <w:bCs w:val="0"/>
                <w:color w:val="000000"/>
                <w:kern w:val="0"/>
                <w:sz w:val="28"/>
                <w:szCs w:val="28"/>
              </w:rPr>
              <w:br w:type="textWrapping"/>
            </w:r>
            <w:r>
              <w:rPr>
                <w:rFonts w:hint="eastAsia" w:ascii="仿宋_GB2312" w:hAnsi="仿宋_GB2312" w:eastAsia="仿宋_GB2312" w:cs="仿宋_GB2312"/>
                <w:b w:val="0"/>
                <w:bCs w:val="0"/>
                <w:color w:val="000000"/>
                <w:kern w:val="0"/>
                <w:sz w:val="28"/>
                <w:szCs w:val="28"/>
              </w:rPr>
              <w:t>“市生态环境局、市发改委、市工信局等市直相关单位按行业主管职责在碳普惠平台建设运营资金补助、项目申报和宣传推广等方面给予优先支持，资金计划列入本单位年度预算范围”，建议将“资金计划列入本单位年度预算范围”修改为：“资金由市直相关单位统筹现有资金予以安排。”</w:t>
            </w:r>
            <w:r>
              <w:rPr>
                <w:rFonts w:hint="eastAsia" w:ascii="仿宋_GB2312" w:hAnsi="仿宋_GB2312" w:eastAsia="仿宋_GB2312" w:cs="仿宋_GB2312"/>
                <w:b w:val="0"/>
                <w:bCs w:val="0"/>
                <w:color w:val="000000"/>
                <w:kern w:val="0"/>
                <w:sz w:val="28"/>
                <w:szCs w:val="28"/>
              </w:rPr>
              <w:br w:type="textWrapping"/>
            </w:r>
            <w:r>
              <w:rPr>
                <w:rFonts w:hint="eastAsia" w:ascii="仿宋_GB2312" w:hAnsi="仿宋_GB2312" w:eastAsia="仿宋_GB2312" w:cs="仿宋_GB2312"/>
                <w:b w:val="0"/>
                <w:bCs w:val="0"/>
                <w:color w:val="000000"/>
                <w:kern w:val="0"/>
                <w:sz w:val="28"/>
                <w:szCs w:val="28"/>
              </w:rPr>
              <w:t>理由：如平台建设需申请运营补助或政策支持，应按程序向相关业务主管部门提出申请，相关业务主管部门认为符合支持条件的，在不增加财政负担情况下，按相应资金管理办法负责组织和受理项目申报、评审和公示、提出项目需求并按程序报批。特此函复</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w:t>
            </w:r>
          </w:p>
        </w:tc>
      </w:tr>
      <w:tr>
        <w:tblPrEx>
          <w:tblCellMar>
            <w:top w:w="0" w:type="dxa"/>
            <w:left w:w="108" w:type="dxa"/>
            <w:bottom w:w="0" w:type="dxa"/>
            <w:right w:w="108" w:type="dxa"/>
          </w:tblCellMar>
        </w:tblPrEx>
        <w:trPr>
          <w:trHeight w:val="567"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4</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市林业局</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5</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市国资委</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6</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市体育局</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7</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市交投集团</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8</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青云谱区人民政府</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9</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湾里管理局</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10</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西湖区人民政府</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11</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新建区人民政府</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12</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红谷滩区人民政府</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13</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高新区管委会</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trPr>
        <w:tc>
          <w:tcPr>
            <w:tcW w:w="4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14</w:t>
            </w:r>
          </w:p>
        </w:tc>
        <w:tc>
          <w:tcPr>
            <w:tcW w:w="627"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东湖区人民政府</w:t>
            </w:r>
          </w:p>
        </w:tc>
        <w:tc>
          <w:tcPr>
            <w:tcW w:w="2262"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695" w:type="pc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b w:val="0"/>
                <w:bCs w:val="0"/>
                <w:color w:val="000000"/>
                <w:kern w:val="0"/>
                <w:sz w:val="28"/>
                <w:szCs w:val="28"/>
              </w:rPr>
            </w:pPr>
          </w:p>
        </w:tc>
      </w:tr>
    </w:tbl>
    <w:p>
      <w:pPr>
        <w:spacing w:line="400" w:lineRule="exact"/>
        <w:ind w:left="420" w:leftChars="200"/>
        <w:rPr>
          <w:rFonts w:hint="eastAsia" w:cs="宋体"/>
          <w:szCs w:val="21"/>
        </w:rPr>
      </w:pPr>
      <w:r>
        <w:rPr>
          <w:rFonts w:hint="eastAsia" w:cs="宋体"/>
          <w:szCs w:val="21"/>
        </w:rPr>
        <w:t xml:space="preserve"> </w:t>
      </w:r>
    </w:p>
    <w:tbl>
      <w:tblPr>
        <w:tblStyle w:val="10"/>
        <w:tblW w:w="5106" w:type="pct"/>
        <w:jc w:val="center"/>
        <w:tblLayout w:type="fixed"/>
        <w:tblCellMar>
          <w:top w:w="0" w:type="dxa"/>
          <w:left w:w="108" w:type="dxa"/>
          <w:bottom w:w="0" w:type="dxa"/>
          <w:right w:w="108" w:type="dxa"/>
        </w:tblCellMar>
      </w:tblPr>
      <w:tblGrid>
        <w:gridCol w:w="778"/>
        <w:gridCol w:w="1069"/>
        <w:gridCol w:w="3750"/>
        <w:gridCol w:w="3106"/>
      </w:tblGrid>
      <w:tr>
        <w:tblPrEx>
          <w:tblCellMar>
            <w:top w:w="0" w:type="dxa"/>
            <w:left w:w="108" w:type="dxa"/>
            <w:bottom w:w="0" w:type="dxa"/>
            <w:right w:w="108" w:type="dxa"/>
          </w:tblCellMar>
        </w:tblPrEx>
        <w:trPr>
          <w:trHeight w:val="915" w:hRule="atLeast"/>
          <w:jc w:val="center"/>
        </w:trPr>
        <w:tc>
          <w:tcPr>
            <w:tcW w:w="5000" w:type="pct"/>
            <w:gridSpan w:val="4"/>
            <w:tcBorders>
              <w:bottom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方正小标宋简体" w:hAnsi="方正小标宋简体" w:eastAsia="方正小标宋简体" w:cs="方正小标宋简体"/>
                <w:b w:val="0"/>
                <w:bCs w:val="0"/>
                <w:color w:val="000000"/>
                <w:kern w:val="0"/>
                <w:sz w:val="36"/>
                <w:szCs w:val="36"/>
              </w:rPr>
              <w:t>第二轮征求意见采纳情况汇总表</w:t>
            </w:r>
          </w:p>
        </w:tc>
      </w:tr>
      <w:tr>
        <w:tblPrEx>
          <w:tblCellMar>
            <w:top w:w="0" w:type="dxa"/>
            <w:left w:w="108" w:type="dxa"/>
            <w:bottom w:w="0" w:type="dxa"/>
            <w:right w:w="108" w:type="dxa"/>
          </w:tblCellMar>
        </w:tblPrEx>
        <w:trPr>
          <w:trHeight w:val="480" w:hRule="atLeast"/>
          <w:jc w:val="center"/>
        </w:trPr>
        <w:tc>
          <w:tcPr>
            <w:tcW w:w="446" w:type="pct"/>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序号</w:t>
            </w:r>
          </w:p>
        </w:tc>
        <w:tc>
          <w:tcPr>
            <w:tcW w:w="61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部门</w:t>
            </w:r>
          </w:p>
        </w:tc>
        <w:tc>
          <w:tcPr>
            <w:tcW w:w="215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意见建议</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采纳情况</w:t>
            </w:r>
          </w:p>
        </w:tc>
      </w:tr>
      <w:tr>
        <w:tblPrEx>
          <w:tblCellMar>
            <w:top w:w="0" w:type="dxa"/>
            <w:left w:w="108" w:type="dxa"/>
            <w:bottom w:w="0" w:type="dxa"/>
            <w:right w:w="108" w:type="dxa"/>
          </w:tblCellMar>
        </w:tblPrEx>
        <w:trPr>
          <w:trHeight w:val="1260" w:hRule="atLeast"/>
          <w:jc w:val="center"/>
        </w:trPr>
        <w:tc>
          <w:tcPr>
            <w:tcW w:w="446" w:type="pct"/>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w:t>
            </w:r>
          </w:p>
        </w:tc>
        <w:tc>
          <w:tcPr>
            <w:tcW w:w="61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lang w:eastAsia="zh-CN"/>
              </w:rPr>
            </w:pPr>
            <w:r>
              <w:rPr>
                <w:rFonts w:hint="eastAsia" w:ascii="仿宋_GB2312" w:hAnsi="仿宋_GB2312" w:eastAsia="仿宋_GB2312" w:cs="仿宋_GB2312"/>
                <w:b w:val="0"/>
                <w:bCs w:val="0"/>
                <w:color w:val="000000"/>
                <w:kern w:val="0"/>
                <w:sz w:val="28"/>
                <w:szCs w:val="28"/>
                <w:lang w:eastAsia="zh-CN"/>
              </w:rPr>
              <w:t>市发改委</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《南昌市碳普惠体系建设工作方案》三、重点任务（三）建立四大碳普惠体系中，建议删去“在南昌市碳达峰碳中和工作领导小组领导下”。理由：南昌市碳达峰碳中和工作领导小组已撤销。</w:t>
            </w:r>
          </w:p>
        </w:tc>
        <w:tc>
          <w:tcPr>
            <w:tcW w:w="178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lang w:eastAsia="zh-CN"/>
              </w:rPr>
            </w:pPr>
            <w:r>
              <w:rPr>
                <w:rFonts w:hint="eastAsia" w:ascii="仿宋_GB2312" w:hAnsi="仿宋_GB2312" w:eastAsia="仿宋_GB2312" w:cs="仿宋_GB2312"/>
                <w:b w:val="0"/>
                <w:bCs w:val="0"/>
                <w:color w:val="000000"/>
                <w:kern w:val="0"/>
                <w:sz w:val="28"/>
                <w:szCs w:val="28"/>
                <w:lang w:eastAsia="zh-CN"/>
              </w:rPr>
              <w:t>采纳</w:t>
            </w:r>
          </w:p>
        </w:tc>
      </w:tr>
      <w:tr>
        <w:tblPrEx>
          <w:tblCellMar>
            <w:top w:w="0" w:type="dxa"/>
            <w:left w:w="108" w:type="dxa"/>
            <w:bottom w:w="0" w:type="dxa"/>
            <w:right w:w="108" w:type="dxa"/>
          </w:tblCellMar>
        </w:tblPrEx>
        <w:trPr>
          <w:trHeight w:val="1395" w:hRule="atLeast"/>
          <w:jc w:val="center"/>
        </w:trPr>
        <w:tc>
          <w:tcPr>
            <w:tcW w:w="446" w:type="pct"/>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2</w:t>
            </w:r>
          </w:p>
        </w:tc>
        <w:tc>
          <w:tcPr>
            <w:tcW w:w="61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市交通运输局</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《方案》第 6 页“（2）建立个人碳减排场景......市交通运输局引导公众优先选择新能源汽车、公共交通、共享单车、步行等低碳出行方式。”建议修改为“（2）建立个人碳减排场景......市交通运输局引导公众优先选择公共交通等低碳出行方式。”</w:t>
            </w:r>
          </w:p>
        </w:tc>
        <w:tc>
          <w:tcPr>
            <w:tcW w:w="178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w:t>
            </w:r>
          </w:p>
        </w:tc>
      </w:tr>
      <w:tr>
        <w:tblPrEx>
          <w:tblCellMar>
            <w:top w:w="0" w:type="dxa"/>
            <w:left w:w="108" w:type="dxa"/>
            <w:bottom w:w="0" w:type="dxa"/>
            <w:right w:w="108" w:type="dxa"/>
          </w:tblCellMar>
        </w:tblPrEx>
        <w:trPr>
          <w:trHeight w:val="1845" w:hRule="atLeast"/>
          <w:jc w:val="center"/>
        </w:trPr>
        <w:tc>
          <w:tcPr>
            <w:tcW w:w="446" w:type="pct"/>
            <w:vMerge w:val="restart"/>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3</w:t>
            </w:r>
          </w:p>
        </w:tc>
        <w:tc>
          <w:tcPr>
            <w:tcW w:w="614"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市商务局</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第6页第2点第2小点“建立个人碳减排场景”。建议:将“推进覆盖公众衣、食、住、行、用等生活领域的碳减排场景建设”和责任单位中市商务局删除。理由:该点论述主要是公共交通低碳出行场景，涉及的是交通运输部门，且公众(消费者)的衣、食、住、用等生活领域覆盖点多面广、个性需求多样化，该领域建立个人碳减排场景不具备实操性。</w:t>
            </w:r>
          </w:p>
        </w:tc>
        <w:tc>
          <w:tcPr>
            <w:tcW w:w="178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采纳，已将该点责任单位中的“市商务局”删除；但仍保留”推进覆盖公众衣、食、住、行、用等生活领域的碳减排场景建设”。</w:t>
            </w:r>
          </w:p>
        </w:tc>
      </w:tr>
      <w:tr>
        <w:tblPrEx>
          <w:tblCellMar>
            <w:top w:w="0" w:type="dxa"/>
            <w:left w:w="108" w:type="dxa"/>
            <w:bottom w:w="0" w:type="dxa"/>
            <w:right w:w="108" w:type="dxa"/>
          </w:tblCellMar>
        </w:tblPrEx>
        <w:trPr>
          <w:trHeight w:val="2385" w:hRule="atLeast"/>
          <w:jc w:val="center"/>
        </w:trPr>
        <w:tc>
          <w:tcPr>
            <w:tcW w:w="446" w:type="pct"/>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61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第7页第3点第2小点“开展大型活动碳中和行动”。建议:将“市文广旅局、市商务局等市直单位和市属相关国有企业支持和引导南昌马拉松、南昌烟花秀、国体演唱会等品牌赛事和活动”中市商务局删除，理由:南昌马拉松、南昌烟花秀、国体演唱会等品牌赛事和活动的管理职能在市文广旅局、市体育局未涉及商务部门职能。</w:t>
            </w:r>
          </w:p>
        </w:tc>
        <w:tc>
          <w:tcPr>
            <w:tcW w:w="178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w:t>
            </w:r>
          </w:p>
        </w:tc>
      </w:tr>
      <w:tr>
        <w:tblPrEx>
          <w:tblCellMar>
            <w:top w:w="0" w:type="dxa"/>
            <w:left w:w="108" w:type="dxa"/>
            <w:bottom w:w="0" w:type="dxa"/>
            <w:right w:w="108" w:type="dxa"/>
          </w:tblCellMar>
        </w:tblPrEx>
        <w:trPr>
          <w:trHeight w:val="1815" w:hRule="atLeast"/>
          <w:jc w:val="center"/>
        </w:trPr>
        <w:tc>
          <w:tcPr>
            <w:tcW w:w="446" w:type="pct"/>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61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第7页第3点第3小点“探索推动全市各类企业自愿进行碳中和行为”。建议:将“市发改委、市工信局、市商务局、市文广旅局等单位支持和引导全市企业、公众、和公共机构积极参与碳普惠”中市发改委、市工信局、市商务局、市文广旅局等单位删除。理由:引导全市企业、公众、和公共机构积极参与碳普惠涉及到政府各个管理部门，远不只这四个部门。</w:t>
            </w:r>
          </w:p>
        </w:tc>
        <w:tc>
          <w:tcPr>
            <w:tcW w:w="178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w:t>
            </w:r>
          </w:p>
        </w:tc>
      </w:tr>
      <w:tr>
        <w:tblPrEx>
          <w:tblCellMar>
            <w:top w:w="0" w:type="dxa"/>
            <w:left w:w="108" w:type="dxa"/>
            <w:bottom w:w="0" w:type="dxa"/>
            <w:right w:w="108" w:type="dxa"/>
          </w:tblCellMar>
        </w:tblPrEx>
        <w:trPr>
          <w:trHeight w:val="2295" w:hRule="atLeast"/>
          <w:jc w:val="center"/>
        </w:trPr>
        <w:tc>
          <w:tcPr>
            <w:tcW w:w="446" w:type="pct"/>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61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第7页第3点第4小点“探索多样化商业激励机制”。建议:将“市商务局、市文广旅局等单位支持和鼓励开展促消费工作，探索多样化个人碳普惠减排量消纳渠道”修改为“支持和鼓励市内旅游景区、星级酒店、大型商场等场所开展商品促销和商业激励活动，探索多样化个人碳普惠减排量消纳渠道”。理由:目前商务部门只能引导大型商场、综合体打造绿色商场，构建绿色消费场景，开展商品促消费活动，鼓励公众购买节能电器、使用环保包装、购买绿色低碳产品，为公众绿色消费提供便利。</w:t>
            </w:r>
          </w:p>
        </w:tc>
        <w:tc>
          <w:tcPr>
            <w:tcW w:w="178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将内容修改为“支持和鼓励市内旅游景区、星级酒店、大型商场等场所开展商品促销和商业激励活动，探索多样化个人碳普惠减排量消纳渠道。具体包括提供商业代金券、景点门票（市交投集团下属滕王阁、洪崖丹井等景区）兑换券、免费停车（市政公用集团下属停车场等）便民服务、文创产品等激励措施。”</w:t>
            </w:r>
          </w:p>
        </w:tc>
      </w:tr>
      <w:tr>
        <w:tblPrEx>
          <w:tblCellMar>
            <w:top w:w="0" w:type="dxa"/>
            <w:left w:w="108" w:type="dxa"/>
            <w:bottom w:w="0" w:type="dxa"/>
            <w:right w:w="108" w:type="dxa"/>
          </w:tblCellMar>
        </w:tblPrEx>
        <w:trPr>
          <w:trHeight w:val="1230" w:hRule="atLeast"/>
          <w:jc w:val="center"/>
        </w:trPr>
        <w:tc>
          <w:tcPr>
            <w:tcW w:w="446" w:type="pct"/>
            <w:vMerge w:val="restart"/>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4</w:t>
            </w:r>
          </w:p>
        </w:tc>
        <w:tc>
          <w:tcPr>
            <w:tcW w:w="614"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市文广旅局</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第8页第(4)点中，建议删除“提供景点门票、文创产品等内容，或者建议征求景区主管单位意见，我局是行业指导部门，职责是指导景区发展及品牌创建。</w:t>
            </w:r>
          </w:p>
        </w:tc>
        <w:tc>
          <w:tcPr>
            <w:tcW w:w="178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采纳，已删除“市文广旅局”作为责任单位相关内容。</w:t>
            </w:r>
          </w:p>
        </w:tc>
      </w:tr>
      <w:tr>
        <w:tblPrEx>
          <w:tblCellMar>
            <w:top w:w="0" w:type="dxa"/>
            <w:left w:w="108" w:type="dxa"/>
            <w:bottom w:w="0" w:type="dxa"/>
            <w:right w:w="108" w:type="dxa"/>
          </w:tblCellMar>
        </w:tblPrEx>
        <w:trPr>
          <w:trHeight w:val="1080" w:hRule="atLeast"/>
          <w:jc w:val="center"/>
        </w:trPr>
        <w:tc>
          <w:tcPr>
            <w:tcW w:w="446" w:type="pct"/>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61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第7页第(2)点中，建议“南昌烟花秀”责任单位征求主办单位意见，我局仅为烟花晚会指导协调部门。</w:t>
            </w:r>
          </w:p>
        </w:tc>
        <w:tc>
          <w:tcPr>
            <w:tcW w:w="178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采纳</w:t>
            </w:r>
          </w:p>
        </w:tc>
      </w:tr>
      <w:tr>
        <w:tblPrEx>
          <w:tblCellMar>
            <w:top w:w="0" w:type="dxa"/>
            <w:left w:w="108" w:type="dxa"/>
            <w:bottom w:w="0" w:type="dxa"/>
            <w:right w:w="108" w:type="dxa"/>
          </w:tblCellMar>
        </w:tblPrEx>
        <w:trPr>
          <w:trHeight w:val="1800" w:hRule="atLeast"/>
          <w:jc w:val="center"/>
        </w:trPr>
        <w:tc>
          <w:tcPr>
            <w:tcW w:w="446" w:type="pct"/>
            <w:vMerge w:val="restart"/>
            <w:tcBorders>
              <w:top w:val="nil"/>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5</w:t>
            </w:r>
          </w:p>
        </w:tc>
        <w:tc>
          <w:tcPr>
            <w:tcW w:w="614"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市政数局</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highlight w:val="none"/>
              </w:rPr>
            </w:pPr>
            <w:r>
              <w:rPr>
                <w:rFonts w:hint="eastAsia" w:ascii="仿宋_GB2312" w:hAnsi="仿宋_GB2312" w:eastAsia="仿宋_GB2312" w:cs="仿宋_GB2312"/>
                <w:b w:val="0"/>
                <w:bCs w:val="0"/>
                <w:color w:val="000000"/>
                <w:kern w:val="0"/>
                <w:sz w:val="28"/>
                <w:szCs w:val="28"/>
                <w:highlight w:val="none"/>
              </w:rPr>
              <w:t>根据《南昌市深化数字政府建设实施方案（2025 年-2026年）》（洪府发〔2025〕2 号）中关于“一市一平台”的建设要求，系统建设涉及各平台数据接入与汇聚，推动政务信息系统整合和政务数据共享，各行业主管部门或监管部门如需调用相关信息，统一通过南昌市数据共享交换平台进行数据资源共享与订阅。</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highlight w:val="none"/>
                <w:lang w:eastAsia="zh-CN"/>
              </w:rPr>
            </w:pPr>
            <w:r>
              <w:rPr>
                <w:rFonts w:hint="eastAsia" w:ascii="仿宋_GB2312" w:hAnsi="仿宋_GB2312" w:eastAsia="仿宋_GB2312" w:cs="仿宋_GB2312"/>
                <w:b w:val="0"/>
                <w:bCs w:val="0"/>
                <w:color w:val="000000"/>
                <w:kern w:val="0"/>
                <w:sz w:val="28"/>
                <w:szCs w:val="28"/>
                <w:highlight w:val="none"/>
                <w:lang w:eastAsia="zh-CN"/>
              </w:rPr>
              <w:t>采纳</w:t>
            </w:r>
          </w:p>
        </w:tc>
      </w:tr>
      <w:tr>
        <w:tblPrEx>
          <w:tblCellMar>
            <w:top w:w="0" w:type="dxa"/>
            <w:left w:w="108" w:type="dxa"/>
            <w:bottom w:w="0" w:type="dxa"/>
            <w:right w:w="108" w:type="dxa"/>
          </w:tblCellMar>
        </w:tblPrEx>
        <w:trPr>
          <w:trHeight w:val="2205" w:hRule="atLeast"/>
          <w:jc w:val="center"/>
        </w:trPr>
        <w:tc>
          <w:tcPr>
            <w:tcW w:w="446" w:type="pct"/>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614"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highlight w:val="none"/>
              </w:rPr>
            </w:pPr>
            <w:r>
              <w:rPr>
                <w:rFonts w:hint="eastAsia" w:ascii="仿宋_GB2312" w:hAnsi="仿宋_GB2312" w:eastAsia="仿宋_GB2312" w:cs="仿宋_GB2312"/>
                <w:b w:val="0"/>
                <w:bCs w:val="0"/>
                <w:color w:val="000000"/>
                <w:kern w:val="0"/>
                <w:sz w:val="28"/>
                <w:szCs w:val="28"/>
                <w:highlight w:val="none"/>
              </w:rPr>
              <w:t>《南昌市碳普惠体系建设工作方案》第三点“重点任务”中，关于“开发三个碳普惠平台”，建议应按照《江西省数字政府建设总体方案》（赣府发〔2023〕8 号）中有关数字化项目规划和建设要求，落实好“省级主建，市县主用”、“一部门一系统”原则，与省级平台充分融合复用。属于《政务信息系统定义和范围》（GB/T40692-2021）规定的，应按照《江西省数字化项目建设管理办法》（赣府厅发〔2023〕12 号）规定进行项目申报，我局将积极配合。</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highlight w:val="none"/>
                <w:lang w:eastAsia="zh-CN"/>
              </w:rPr>
            </w:pPr>
            <w:r>
              <w:rPr>
                <w:rFonts w:hint="eastAsia" w:ascii="仿宋_GB2312" w:hAnsi="仿宋_GB2312" w:eastAsia="仿宋_GB2312" w:cs="仿宋_GB2312"/>
                <w:b w:val="0"/>
                <w:bCs w:val="0"/>
                <w:color w:val="000000"/>
                <w:kern w:val="0"/>
                <w:sz w:val="28"/>
                <w:szCs w:val="28"/>
                <w:highlight w:val="none"/>
                <w:lang w:eastAsia="zh-CN"/>
              </w:rPr>
              <w:t>采纳</w:t>
            </w: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lang w:eastAsia="zh-CN"/>
              </w:rPr>
            </w:pPr>
            <w:r>
              <w:rPr>
                <w:rFonts w:hint="eastAsia" w:ascii="仿宋_GB2312" w:hAnsi="仿宋_GB2312" w:eastAsia="仿宋_GB2312" w:cs="仿宋_GB2312"/>
                <w:b w:val="0"/>
                <w:bCs w:val="0"/>
                <w:color w:val="000000"/>
                <w:kern w:val="0"/>
                <w:sz w:val="28"/>
                <w:szCs w:val="28"/>
                <w:lang w:val="en-US" w:eastAsia="zh-CN"/>
              </w:rPr>
              <w:t>6</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lang w:eastAsia="zh-CN"/>
              </w:rPr>
              <w:t>市</w:t>
            </w:r>
            <w:r>
              <w:rPr>
                <w:rFonts w:hint="eastAsia" w:ascii="仿宋_GB2312" w:hAnsi="仿宋_GB2312" w:eastAsia="仿宋_GB2312" w:cs="仿宋_GB2312"/>
                <w:b w:val="0"/>
                <w:bCs w:val="0"/>
                <w:color w:val="000000"/>
                <w:kern w:val="0"/>
                <w:sz w:val="28"/>
                <w:szCs w:val="28"/>
              </w:rPr>
              <w:t>机关事务管理局</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7</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市财政局</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8</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市城管</w:t>
            </w:r>
            <w:r>
              <w:rPr>
                <w:rFonts w:hint="eastAsia" w:ascii="仿宋_GB2312" w:hAnsi="仿宋_GB2312" w:eastAsia="仿宋_GB2312" w:cs="仿宋_GB2312"/>
                <w:b w:val="0"/>
                <w:bCs w:val="0"/>
                <w:color w:val="000000"/>
                <w:kern w:val="0"/>
                <w:sz w:val="28"/>
                <w:szCs w:val="28"/>
                <w:lang w:eastAsia="zh-CN"/>
              </w:rPr>
              <w:t>执法</w:t>
            </w:r>
            <w:r>
              <w:rPr>
                <w:rFonts w:hint="eastAsia" w:ascii="仿宋_GB2312" w:hAnsi="仿宋_GB2312" w:eastAsia="仿宋_GB2312" w:cs="仿宋_GB2312"/>
                <w:b w:val="0"/>
                <w:bCs w:val="0"/>
                <w:color w:val="000000"/>
                <w:kern w:val="0"/>
                <w:sz w:val="28"/>
                <w:szCs w:val="28"/>
              </w:rPr>
              <w:t>局</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9</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市委金融办</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10</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市国资委</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11</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市体育局</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12</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青云谱区人民政府</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13</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湾里管理局</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14</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西湖区人民政府</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15</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新建区人民政府</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16</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红谷滩区人民政府</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r>
        <w:tblPrEx>
          <w:tblCellMar>
            <w:top w:w="0" w:type="dxa"/>
            <w:left w:w="108" w:type="dxa"/>
            <w:bottom w:w="0" w:type="dxa"/>
            <w:right w:w="108" w:type="dxa"/>
          </w:tblCellMar>
        </w:tblPrEx>
        <w:trPr>
          <w:trHeight w:val="567" w:hRule="atLeast"/>
          <w:jc w:val="center"/>
        </w:trPr>
        <w:tc>
          <w:tcPr>
            <w:tcW w:w="4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color w:val="000000"/>
                <w:kern w:val="0"/>
                <w:sz w:val="28"/>
                <w:szCs w:val="28"/>
                <w:lang w:val="en-US" w:eastAsia="zh-CN"/>
              </w:rPr>
            </w:pPr>
            <w:r>
              <w:rPr>
                <w:rFonts w:hint="eastAsia" w:ascii="仿宋_GB2312" w:hAnsi="仿宋_GB2312" w:eastAsia="仿宋_GB2312" w:cs="仿宋_GB2312"/>
                <w:b w:val="0"/>
                <w:bCs w:val="0"/>
                <w:color w:val="000000"/>
                <w:kern w:val="0"/>
                <w:sz w:val="28"/>
                <w:szCs w:val="28"/>
                <w:lang w:val="en-US" w:eastAsia="zh-CN"/>
              </w:rPr>
              <w:t>17</w:t>
            </w:r>
          </w:p>
        </w:tc>
        <w:tc>
          <w:tcPr>
            <w:tcW w:w="61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东湖区人民政府</w:t>
            </w:r>
          </w:p>
        </w:tc>
        <w:tc>
          <w:tcPr>
            <w:tcW w:w="215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无意见</w:t>
            </w:r>
          </w:p>
        </w:tc>
        <w:tc>
          <w:tcPr>
            <w:tcW w:w="1784"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p>
        </w:tc>
      </w:tr>
    </w:tbl>
    <w:p>
      <w:pPr>
        <w:widowControl/>
        <w:jc w:val="center"/>
        <w:rPr>
          <w:rFonts w:cs="Times New Roman"/>
        </w:rPr>
      </w:pPr>
    </w:p>
    <w:p>
      <w:pPr>
        <w:pStyle w:val="2"/>
        <w:spacing w:line="400" w:lineRule="exact"/>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5628A0"/>
    <w:multiLevelType w:val="singleLevel"/>
    <w:tmpl w:val="1A5628A0"/>
    <w:lvl w:ilvl="0" w:tentative="0">
      <w:start w:val="1"/>
      <w:numFmt w:val="chineseCounting"/>
      <w:suff w:val="nothing"/>
      <w:lvlText w:val="%1、"/>
      <w:lvlJc w:val="left"/>
      <w:rPr>
        <w:rFonts w:hint="eastAsia"/>
      </w:rPr>
    </w:lvl>
  </w:abstractNum>
  <w:abstractNum w:abstractNumId="1">
    <w:nsid w:val="5E17A00D"/>
    <w:multiLevelType w:val="singleLevel"/>
    <w:tmpl w:val="5E17A00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0635D9"/>
    <w:rsid w:val="0FF878F7"/>
    <w:rsid w:val="10790FA7"/>
    <w:rsid w:val="11BE7D6A"/>
    <w:rsid w:val="122F279E"/>
    <w:rsid w:val="250635D9"/>
    <w:rsid w:val="43BE522E"/>
    <w:rsid w:val="5AA117C0"/>
    <w:rsid w:val="5E92175D"/>
    <w:rsid w:val="6498465C"/>
    <w:rsid w:val="68456BC4"/>
    <w:rsid w:val="6F6A5F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1"/>
    <w:pPr>
      <w:autoSpaceDE w:val="0"/>
      <w:autoSpaceDN w:val="0"/>
      <w:spacing w:before="67"/>
      <w:ind w:left="947" w:right="353"/>
      <w:jc w:val="center"/>
      <w:outlineLvl w:val="0"/>
    </w:pPr>
    <w:rPr>
      <w:rFonts w:ascii="宋体" w:hAnsi="宋体" w:cs="宋体"/>
      <w:kern w:val="0"/>
      <w:sz w:val="39"/>
      <w:szCs w:val="39"/>
    </w:rPr>
  </w:style>
  <w:style w:type="paragraph" w:styleId="4">
    <w:name w:val="heading 2"/>
    <w:basedOn w:val="1"/>
    <w:next w:val="1"/>
    <w:qFormat/>
    <w:uiPriority w:val="9"/>
    <w:pPr>
      <w:spacing w:beforeAutospacing="1" w:afterAutospacing="1"/>
      <w:jc w:val="left"/>
      <w:outlineLvl w:val="1"/>
    </w:pPr>
    <w:rPr>
      <w:rFonts w:hint="eastAsia" w:ascii="宋体" w:hAnsi="宋体" w:eastAsia="宋体" w:cs="Times New Roman"/>
      <w:b/>
      <w:bCs/>
      <w:kern w:val="0"/>
      <w:sz w:val="36"/>
      <w:szCs w:val="36"/>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tabs>
        <w:tab w:val="right" w:leader="dot" w:pos="8834"/>
      </w:tabs>
    </w:pPr>
    <w:rPr>
      <w:rFonts w:ascii="黑体" w:eastAsia="楷体_GB2312"/>
      <w:sz w:val="28"/>
    </w:rPr>
  </w:style>
  <w:style w:type="paragraph" w:styleId="5">
    <w:name w:val="Body Text"/>
    <w:basedOn w:val="1"/>
    <w:qFormat/>
    <w:uiPriority w:val="99"/>
  </w:style>
  <w:style w:type="paragraph" w:styleId="6">
    <w:name w:val="Body Text Indent"/>
    <w:basedOn w:val="1"/>
    <w:qFormat/>
    <w:uiPriority w:val="0"/>
    <w:pPr>
      <w:spacing w:after="120" w:afterLines="0" w:afterAutospacing="0"/>
      <w:ind w:left="420" w:leftChars="200"/>
    </w:pPr>
  </w:style>
  <w:style w:type="paragraph" w:styleId="7">
    <w:name w:val="footer"/>
    <w:basedOn w:val="1"/>
    <w:unhideWhenUsed/>
    <w:qFormat/>
    <w:uiPriority w:val="0"/>
    <w:pPr>
      <w:tabs>
        <w:tab w:val="center" w:pos="4153"/>
        <w:tab w:val="right" w:pos="8306"/>
      </w:tabs>
      <w:snapToGrid w:val="0"/>
      <w:jc w:val="left"/>
    </w:pPr>
    <w:rPr>
      <w:sz w:val="18"/>
      <w:szCs w:val="18"/>
    </w:rPr>
  </w:style>
  <w:style w:type="paragraph" w:styleId="8">
    <w:name w:val="footnote text"/>
    <w:basedOn w:val="1"/>
    <w:next w:val="9"/>
    <w:qFormat/>
    <w:uiPriority w:val="0"/>
    <w:pPr>
      <w:widowControl w:val="0"/>
      <w:snapToGrid w:val="0"/>
      <w:jc w:val="left"/>
    </w:pPr>
    <w:rPr>
      <w:rFonts w:ascii="Times New Roman" w:hAnsi="Times New Roman" w:eastAsia="宋体" w:cs="Times New Roman"/>
      <w:kern w:val="2"/>
      <w:sz w:val="18"/>
      <w:szCs w:val="18"/>
      <w:lang w:val="en-US" w:eastAsia="zh-CN" w:bidi="ar-SA"/>
    </w:rPr>
  </w:style>
  <w:style w:type="paragraph" w:styleId="9">
    <w:name w:val="Body Text First Indent 2"/>
    <w:basedOn w:val="6"/>
    <w:qFormat/>
    <w:uiPriority w:val="0"/>
    <w:pPr>
      <w:ind w:firstLine="420" w:firstLineChars="200"/>
    </w:p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footnote reference"/>
    <w:basedOn w:val="12"/>
    <w:qFormat/>
    <w:uiPriority w:val="0"/>
    <w:rPr>
      <w:vertAlign w:val="superscript"/>
    </w:rPr>
  </w:style>
  <w:style w:type="paragraph" w:customStyle="1" w:styleId="14">
    <w:name w:val="表格文字"/>
    <w:basedOn w:val="1"/>
    <w:next w:val="5"/>
    <w:qFormat/>
    <w:uiPriority w:val="99"/>
    <w:pPr>
      <w:spacing w:before="25" w:after="25"/>
      <w:jc w:val="left"/>
    </w:pPr>
    <w:rPr>
      <w:spacing w:val="10"/>
      <w:kern w:val="0"/>
      <w:sz w:val="24"/>
    </w:rPr>
  </w:style>
  <w:style w:type="paragraph" w:customStyle="1" w:styleId="15">
    <w:name w:val="Default"/>
    <w:qFormat/>
    <w:uiPriority w:val="0"/>
    <w:pPr>
      <w:widowControl w:val="0"/>
      <w:autoSpaceDE w:val="0"/>
      <w:autoSpaceDN w:val="0"/>
      <w:adjustRightInd w:val="0"/>
    </w:pPr>
    <w:rPr>
      <w:rFonts w:hint="eastAsia" w:ascii="宋体" w:hAnsi="宋体" w:eastAsia="宋体" w:cs="Times New Roman"/>
      <w:color w:val="000000"/>
      <w:sz w:val="24"/>
      <w:szCs w:val="22"/>
      <w:lang w:val="en-US" w:eastAsia="zh-CN" w:bidi="ar-SA"/>
    </w:rPr>
  </w:style>
  <w:style w:type="character" w:customStyle="1" w:styleId="16">
    <w:name w:val="font21"/>
    <w:basedOn w:val="12"/>
    <w:qFormat/>
    <w:uiPriority w:val="0"/>
    <w:rPr>
      <w:rFonts w:hint="eastAsia" w:ascii="仿宋_GB2312" w:eastAsia="仿宋_GB2312" w:cs="仿宋_GB2312"/>
      <w:color w:val="000000"/>
      <w:sz w:val="24"/>
      <w:szCs w:val="24"/>
      <w:u w:val="none"/>
    </w:rPr>
  </w:style>
  <w:style w:type="character" w:customStyle="1" w:styleId="17">
    <w:name w:val="font11"/>
    <w:basedOn w:val="12"/>
    <w:qFormat/>
    <w:uiPriority w:val="0"/>
    <w:rPr>
      <w:rFonts w:hint="eastAsia" w:ascii="仿宋_GB2312" w:eastAsia="仿宋_GB2312" w:cs="仿宋_GB2312"/>
      <w:color w:val="000000"/>
      <w:sz w:val="24"/>
      <w:szCs w:val="24"/>
      <w:u w:val="none"/>
    </w:rPr>
  </w:style>
  <w:style w:type="character" w:customStyle="1" w:styleId="18">
    <w:name w:val="font31"/>
    <w:basedOn w:val="12"/>
    <w:qFormat/>
    <w:uiPriority w:val="0"/>
    <w:rPr>
      <w:rFonts w:hint="eastAsia" w:ascii="仿宋_GB2312" w:eastAsia="仿宋_GB2312" w:cs="仿宋_GB2312"/>
      <w:color w:val="000000"/>
      <w:sz w:val="24"/>
      <w:szCs w:val="24"/>
      <w:u w:val="none"/>
    </w:rPr>
  </w:style>
  <w:style w:type="character" w:customStyle="1" w:styleId="19">
    <w:name w:val="font41"/>
    <w:basedOn w:val="12"/>
    <w:qFormat/>
    <w:uiPriority w:val="0"/>
    <w:rPr>
      <w:rFonts w:hint="eastAsia" w:ascii="宋体" w:hAnsi="宋体" w:eastAsia="宋体" w:cs="宋体"/>
      <w:color w:val="000000"/>
      <w:sz w:val="24"/>
      <w:szCs w:val="24"/>
      <w:u w:val="none"/>
    </w:rPr>
  </w:style>
  <w:style w:type="character" w:customStyle="1" w:styleId="20">
    <w:name w:val="正文文本 字符"/>
    <w:semiHidden/>
    <w:qFormat/>
    <w:uiPriority w:val="99"/>
  </w:style>
  <w:style w:type="paragraph" w:customStyle="1" w:styleId="21">
    <w:name w:val="列表段落1"/>
    <w:basedOn w:val="1"/>
    <w:qFormat/>
    <w:uiPriority w:val="34"/>
    <w:pPr>
      <w:ind w:firstLine="420" w:firstLineChars="200"/>
    </w:pPr>
  </w:style>
  <w:style w:type="paragraph" w:customStyle="1" w:styleId="22">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142</TotalTime>
  <ScaleCrop>false</ScaleCrop>
  <LinksUpToDate>false</LinksUpToDate>
  <CharactersWithSpaces>0</CharactersWithSpaces>
  <Application>WPS Office_12.8.2.16981_F1E327BC-269C-435d-A152-05C5408002CA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2024-12-24T12:22:00Z</dcterms:created>
  <dc:creator>|ω･`)</dc:creator>
  <cp:lastModifiedBy>|ω･`)</cp:lastModifiedBy>
  <cp:lastPrinted>2025-02-27T03:58:00Z</cp:lastPrinted>
  <dcterms:modified xsi:type="dcterms:W3CDTF">2025-03-12T02:11:48Z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2052-12.8.2.16981</vt:lpwstr>
  </property>
  <property fmtid="{D5CDD505-2E9C-101B-9397-08002B2CF9AE}" pid="3" name="ICV">
    <vt:lpwstr>527EE033E2D84A4D8E19191FAA3C1E75_13</vt:lpwstr>
  </property>
</Properties>
</file>