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theme/themeOverride1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color w:val="000000"/>
          <w:sz w:val="36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1528445</wp:posOffset>
                </wp:positionV>
                <wp:extent cx="355600" cy="402590"/>
                <wp:effectExtent l="0" t="0" r="0" b="0"/>
                <wp:wrapNone/>
                <wp:docPr id="1026" name="矩形 3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3960" o:spid="_x0000_s1026" o:spt="1" style="position:absolute;left:0pt;margin-left:304.2pt;margin-top:120.35pt;height:31.7pt;width:28pt;z-index:251659264;mso-width-relative:page;mso-height-relative:page;" filled="f" stroked="f" coordsize="21600,21600" o:gfxdata="UEsDBAoAAAAAAIdO4kAAAAAAAAAAAAAAAAAEAAAAZHJzL1BLAwQUAAAACACHTuJA7yEJR9sAAAAL&#10;AQAADwAAAGRycy9kb3ducmV2LnhtbE2PTU/DMAyG70j8h8hI3FjSUZWuNJ0QHxrHsSENbllr2orE&#10;qZpsHfx6zAmOth+9ft5yeXJWHHEMvScNyUyBQKp901Or4XX7dJWDCNFQY6wn1PCFAZbV+VlpisZP&#10;9ILHTWwFh1AojIYuxqGQMtQdOhNmfkDi24cfnYk8jq1sRjNxuLNyrlQmnemJP3RmwPsO68/NwWlY&#10;5cPd27P/nlr7+L7arXeLh+0ian15kahbEBFP8Q+GX31Wh4qd9v5ATRBWQ6bylFEN81TdgGAiy1Le&#10;7DVcqzQBWZXyf4fqB1BLAwQUAAAACACHTuJAhb31TbkBAAB4AwAADgAAAGRycy9lMm9Eb2MueG1s&#10;rVNLbtswEN0X6B0I7mvKTm00guVsjAQBijZAmgPQFGkR4A9D2pJPU6C7HqLHKXqNDmnZTtJNFt1Q&#10;M8Phm3lvRsubwRqylxC1dw2dTipKpBO+1W7b0Kdvtx8+URITdy033smGHmSkN6v375Z9qOXMd960&#10;EgiCuFj3oaFdSqFmLIpOWh4nPkiHl8qD5Qld2LIWeI/o1rBZVS1Y76EN4IWMEaPr4yUdEeEtgF4p&#10;LeTai52VLh1RQRqekFLsdIh0VbpVSor0VakoEzENRaapnFgE7U0+2WrJ6y3w0GkxtsDf0sIrTpZr&#10;h0XPUGueONmB/gfKagE+epUmwlt2JFIUQRbT6pU2jx0PsnBBqWM4ix7/H6z4sn8AolvchGq2oMRx&#10;izP/8/3n718/yNX1oijUh1hj4mN4ANQrexHNTHdQYPMXiZChqHo4qyqHRAQGr+bzRYV6C7z6WM3m&#10;1wWTXR4HiOlOekuy0VDAoRUt+f5zTFgQU08puZbzt9qYMjjjXgQw8RiRZfLj60u/2UrDZhhJbHx7&#10;QPLm3qGgeTlOBpyMzcnYBdDbDpub5o1hGQgHUloblydP/Llfsi4/zOo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7yEJR9sAAAALAQAADwAAAAAAAAABACAAAAAiAAAAZHJzL2Rvd25yZXYueG1sUEsB&#10;AhQAFAAAAAgAh07iQIW99U25AQAAeAMAAA4AAAAAAAAAAQAgAAAAKg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400" w:firstLineChars="200"/>
        <w:rPr>
          <w:rFonts w:ascii="黑体" w:hAnsi="宋体" w:eastAsia="黑体"/>
          <w:color w:val="000000"/>
          <w:sz w:val="36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229235</wp:posOffset>
                </wp:positionV>
                <wp:extent cx="1644650" cy="525145"/>
                <wp:effectExtent l="0" t="0" r="0" b="0"/>
                <wp:wrapNone/>
                <wp:docPr id="1027" name="矩形 39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49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0066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006600"/>
                                <w:sz w:val="54"/>
                                <w:szCs w:val="54"/>
                              </w:rPr>
                              <w:t>202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006600"/>
                                <w:sz w:val="54"/>
                                <w:szCs w:val="54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宋体"/>
                                <w:b/>
                                <w:bCs/>
                                <w:i/>
                                <w:iCs/>
                                <w:color w:val="006600"/>
                                <w:sz w:val="54"/>
                                <w:szCs w:val="54"/>
                              </w:rPr>
                              <w:t>年度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3959" o:spid="_x0000_s1026" o:spt="1" style="position:absolute;left:0pt;margin-left:187.8pt;margin-top:18.05pt;height:41.35pt;width:129.5pt;z-index:251660288;mso-width-relative:page;mso-height-relative:page;" filled="f" stroked="f" coordsize="21600,21600" o:gfxdata="UEsDBAoAAAAAAIdO4kAAAAAAAAAAAAAAAAAEAAAAZHJzL1BLAwQUAAAACACHTuJAtfe+f9oAAAAK&#10;AQAADwAAAGRycy9kb3ducmV2LnhtbE2Py07DMBBF90j8gzVI7KgTCmka4lSIh9oltJUKOzcekgh7&#10;HMVuU/h6hhXs5nF050y5ODkrjjiEzpOCdJKAQKq96ahRsN08X+UgQtRktPWECr4wwKI6Pyt1YfxI&#10;r3hcx0ZwCIVCK2hj7AspQ92i02HieyTeffjB6cjt0Egz6JHDnZXXSZJJpzviC63u8aHF+nN9cAqW&#10;eX//tvLfY2Of3pe7l938cTOPSl1epMkdiIin+AfDrz6rQ8VOe38gE4RVMJ3dZoxykaUgGMimNzzY&#10;M5nmOciqlP9fqH4AUEsDBBQAAAAIAIdO4kDYYtmxugEAAHkDAAAOAAAAZHJzL2Uyb0RvYy54bWyt&#10;U02O0zAY3SNxB8t7mqTTFho1nU01CAnBSAMHcB27seQ/fXab9DRI7DgEx0Fcg89OWoZhM4vZOM+f&#10;7ef33udsbgejyUlAUM42tJqVlAjLXavsoaFfv9y9eUdJiMy2TDsrGnoWgd5uX7/a9L4Wc9c53Qog&#10;SGJD3fuGdjH6uigC74RhYea8sLgoHRgWcQqHogXWI7vRxbwsV0XvoPXguAgBq7txkU6M8BxCJ6Xi&#10;Yuf40QgbR1YQmkW0FDrlA91mtVIKHj9LGUQkuqHoNOYRL0G8T2Ox3bD6AMx3ik8S2HMkPPFkmLJ4&#10;6ZVqxyIjR1D/URnFwQUn44w7U4xGciLooiqfZPPQMS+yF4w6+Gvo4eVo+afTPRDV4kso528pscxg&#10;z39/+/Hr53dys16uU0K9DzVufPD3MM0CwmR3kGDSF42QIad6vqYqhkg4FqvVYrFarCnhuLacL6vF&#10;MpEWf097CPG9cIYk0FDAruUw2eljiOPWy5Z0mXV3Smuss1rbfwrIOVZEbv10OskfBScUh/0wudi7&#10;9ozu9QeLiabXcQFwAfsLOHpQhw7FVVl7IsKOZBfT60ktfzxH/PiP2f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tfe+f9oAAAAKAQAADwAAAAAAAAABACAAAAAiAAAAZHJzL2Rvd25yZXYueG1sUEsB&#10;AhQAFAAAAAgAh07iQNhi2bG6AQAAeQMAAA4AAAAAAAAAAQAgAAAAKQ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b/>
                          <w:bCs/>
                          <w:color w:val="0066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color w:val="006600"/>
                          <w:sz w:val="54"/>
                          <w:szCs w:val="54"/>
                        </w:rPr>
                        <w:t>202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color w:val="006600"/>
                          <w:sz w:val="54"/>
                          <w:szCs w:val="54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宋体"/>
                          <w:b/>
                          <w:bCs/>
                          <w:i/>
                          <w:iCs/>
                          <w:color w:val="006600"/>
                          <w:sz w:val="54"/>
                          <w:szCs w:val="54"/>
                        </w:rPr>
                        <w:t>年度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400" w:firstLineChars="200"/>
        <w:rPr>
          <w:rFonts w:ascii="黑体" w:hAnsi="宋体" w:eastAsia="黑体"/>
          <w:color w:val="000000"/>
          <w:sz w:val="36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102870</wp:posOffset>
                </wp:positionV>
                <wp:extent cx="5994400" cy="1000125"/>
                <wp:effectExtent l="0" t="0" r="0" b="0"/>
                <wp:wrapNone/>
                <wp:docPr id="1028" name="矩形 3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3"/>
                              <w:jc w:val="center"/>
                              <w:rPr>
                                <w:rFonts w:ascii="华文中宋" w:eastAsia="华文中宋"/>
                                <w:b w:val="0"/>
                                <w:bCs w:val="0"/>
                                <w:color w:val="006600"/>
                                <w:spacing w:val="50"/>
                                <w:w w:val="100"/>
                                <w:sz w:val="84"/>
                              </w:rPr>
                            </w:pPr>
                            <w:r>
                              <w:rPr>
                                <w:rFonts w:hint="eastAsia" w:ascii="华文中宋" w:eastAsia="华文中宋"/>
                                <w:b w:val="0"/>
                                <w:bCs w:val="0"/>
                                <w:color w:val="006600"/>
                                <w:spacing w:val="50"/>
                                <w:w w:val="100"/>
                                <w:sz w:val="84"/>
                              </w:rPr>
                              <w:t>南昌市环境质量概要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3961" o:spid="_x0000_s1026" o:spt="1" style="position:absolute;left:0pt;margin-left:10.6pt;margin-top:8.1pt;height:78.75pt;width:472pt;z-index:251661312;mso-width-relative:page;mso-height-relative:page;" filled="f" stroked="f" coordsize="21600,21600" o:gfxdata="UEsDBAoAAAAAAIdO4kAAAAAAAAAAAAAAAAAEAAAAZHJzL1BLAwQUAAAACACHTuJAG+CAPtgAAAAJ&#10;AQAADwAAAGRycy9kb3ducmV2LnhtbE1Py07DMBC8I/EP1iJxo06CSJsQp0I8VI6lRSrc3HhJIux1&#10;FLtN4etZTnDa3ZnRzGy1PDkrjjiG3pOCdJaAQGq86alV8Lp9ulqACFGT0dYTKvjCAMv6/KzSpfET&#10;veBxE1vBJhRKraCLcSilDE2HToeZH5CY+/Cj05HPsZVm1BObOyuzJMml0z1xQqcHvO+w+dwcnILV&#10;Yrh7e/bfU2sf31e79a542BZRqcuLNLkFEfEU/8TwW5+rQ82d9v5AJgirIEszVjKe82S+yG942TMw&#10;v56DrCv5/4P6B1BLAwQUAAAACACHTuJAR3cr77oBAAB6AwAADgAAAGRycy9lMm9Eb2MueG1srVNL&#10;btswEN0X6B0I7mtRbhLUguVsjBQFijZAmgPQFGkR4A9D2pJPU6C7HqLHKXqNDinZTdNNFt1QjzPk&#10;47w3o/XtaA05Sojau5bWC0aJdMJ32u1b+vjl7s07SmLiruPGO9nSk4z0dvP61XoIjVz63ptOAkES&#10;F5shtLRPKTRVFUUvLY8LH6TDpPJgecIt7KsO+IDs1lRLxm6qwUMXwAsZI0a3U5LOjPASQq+UFnLr&#10;xcFKlyZWkIYnlBR7HSLdlGqVkiJ9VirKRExLUWkqKz6CeJfXarPmzR546LWYS+AvKeGZJsu1w0cv&#10;VFueODmA/ofKagE+epUWwttqElIcQRU1e+bNQ8+DLFrQ6hgupsf/Rys+He+B6A4ngS2x845b7Pmv&#10;r99//vhG3q5u6uzQEGKDBx/CPcy7iDDLHRXY/EUhZCyuni6uyjERgcHr1erqiqHhAnM1Y6xeXmfW&#10;6s/1ADG9l96SDFoK2LbiJj9+jGk6ej6SX3P+ThuDcd4Y91cAOaeILL2fb+f6p4ozSuNunGXsfHdC&#10;+eaDQ0vzeJwBnMHuDA4B9L7H4oojVSbClhQV8/jknj/dI376y2x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BvggD7YAAAACQEAAA8AAAAAAAAAAQAgAAAAIgAAAGRycy9kb3ducmV2LnhtbFBLAQIU&#10;ABQAAAAIAIdO4kBHdyvvugEAAHoDAAAOAAAAAAAAAAEAIAAAACc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3"/>
                        <w:jc w:val="center"/>
                        <w:rPr>
                          <w:rFonts w:ascii="华文中宋" w:eastAsia="华文中宋"/>
                          <w:b w:val="0"/>
                          <w:bCs w:val="0"/>
                          <w:color w:val="006600"/>
                          <w:spacing w:val="50"/>
                          <w:w w:val="100"/>
                          <w:sz w:val="84"/>
                        </w:rPr>
                      </w:pPr>
                      <w:r>
                        <w:rPr>
                          <w:rFonts w:hint="eastAsia" w:ascii="华文中宋" w:eastAsia="华文中宋"/>
                          <w:b w:val="0"/>
                          <w:bCs w:val="0"/>
                          <w:color w:val="006600"/>
                          <w:spacing w:val="50"/>
                          <w:w w:val="100"/>
                          <w:sz w:val="84"/>
                        </w:rPr>
                        <w:t>南昌市环境质量概要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400" w:firstLineChars="200"/>
        <w:rPr>
          <w:rFonts w:ascii="黑体" w:hAnsi="宋体" w:eastAsia="黑体"/>
          <w:color w:val="000000"/>
          <w:sz w:val="36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68580</wp:posOffset>
                </wp:positionV>
                <wp:extent cx="3168650" cy="514985"/>
                <wp:effectExtent l="0" t="0" r="0" b="0"/>
                <wp:wrapNone/>
                <wp:docPr id="1029" name="矩形 3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3965" o:spid="_x0000_s1026" o:spt="1" style="position:absolute;left:0pt;margin-top:5.4pt;height:40.55pt;width:249.5pt;mso-position-horizontal:center;z-index:251662336;mso-width-relative:page;mso-height-relative:page;" filled="f" stroked="f" coordsize="21600,21600" o:gfxdata="UEsDBAoAAAAAAIdO4kAAAAAAAAAAAAAAAAAEAAAAZHJzL1BLAwQUAAAACACHTuJAr4eqVNUAAAAG&#10;AQAADwAAAGRycy9kb3ducmV2LnhtbE2PzU7DMBCE70i8g7VI3KgdhFCdxqkQPypHaJFKb268JBH2&#10;OordpvD0LCc4zsxq5ttqeQpeHHFMfSQDxUyBQGqi66k18LZ5upqDSNmSsz4SGvjCBMv6/KyypYsT&#10;veJxnVvBJZRKa6DLeSilTE2HwaZZHJA4+4hjsJnl2Eo32onLg5fXSt3KYHvihc4OeN9h87k+BAOr&#10;+XD3/hy/p9Y/7lbbl61+2OhszOVFoRYgMp7y3zH84jM61My0jwdySXgD/EhmVzE/pzdas7E3oAsN&#10;sq7kf/z6B1BLAwQUAAAACACHTuJA7XJ2CbsBAAB5AwAADgAAAGRycy9lMm9Eb2MueG1srVNLbtsw&#10;EN0X6B0I7mNJTm3YguVsjBQFijZA2gPQFGkR4A9D2pJPU6C7HqLHKXqNDinZadNNFtlQj8Phm3lv&#10;qM3dYDQ5CQjK2YZWs5ISYblrlT009OuX+5sVJSEy2zLtrGjoWQR6t337ZtP7Wsxd53QrgCCJDXXv&#10;G9rF6OuiCLwThoWZ88LioXRgWMQtHIoWWI/sRhfzslwWvYPWg+MiBIzuxkM6McJLCJ2Uioud40cj&#10;bBxZQWgWUVLolA90m7uVUvD4WcogItENRaUxr1gE8T6txXbD6gMw3yk+tcBe0sIzTYYpi0WvVDsW&#10;GTmC+o/KKA4uOBln3JliFJIdQRVV+cybx455kbWg1cFfTQ+vR8s/nR6AqBZfQjlfU2KZwZn//vbj&#10;18/v5Ha9XCSHeh9qTHz0DzDtAsIkd5Bg0heFkCG7er66KoZIOAZvq+VquUDDOZ4tqnfrVSYtnm57&#10;CPG9cIYk0FDAqWUz2eljiFgRUy8pqZh190rrPDlt/wlg4hgRefTT7dT+2HBCcdgPk4q9a8+oXn+w&#10;6Gh6HRcAF7C/gKMHdeiwuSoZUiQinEhubXo9aeR/73PW0x+z/Q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vh6pU1QAAAAYBAAAPAAAAAAAAAAEAIAAAACIAAABkcnMvZG93bnJldi54bWxQSwECFAAU&#10;AAAACACHTuJA7XJ2CbsBAAB5AwAADgAAAAAAAAABACAAAAAk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720" w:firstLineChars="200"/>
        <w:rPr>
          <w:rFonts w:ascii="黑体" w:hAnsi="宋体" w:eastAsia="黑体"/>
          <w:color w:val="000000"/>
          <w:sz w:val="36"/>
        </w:rPr>
      </w:pPr>
    </w:p>
    <w:p>
      <w:pPr>
        <w:spacing w:line="400" w:lineRule="exact"/>
        <w:ind w:firstLine="400" w:firstLineChars="200"/>
        <w:rPr>
          <w:rFonts w:ascii="黑体" w:hAnsi="宋体" w:eastAsia="黑体"/>
          <w:color w:val="000000"/>
          <w:sz w:val="36"/>
        </w:rPr>
      </w:pPr>
      <w:r>
        <w:rPr>
          <w:rFonts w:ascii="黑体" w:hAnsi="宋体" w:eastAsia="黑体"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118110</wp:posOffset>
                </wp:positionV>
                <wp:extent cx="1915160" cy="485775"/>
                <wp:effectExtent l="4445" t="4445" r="23495" b="5080"/>
                <wp:wrapNone/>
                <wp:docPr id="1030" name="矩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16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color w:val="000000"/>
                                <w:sz w:val="44"/>
                              </w:rPr>
                              <w:t>一、环境空气</w:t>
                            </w:r>
                          </w:p>
                        </w:txbxContent>
                      </wps:txbx>
                      <wps:bodyPr lIns="91440" tIns="36000" rIns="91440" bIns="36000" upright="1"/>
                    </wps:wsp>
                  </a:graphicData>
                </a:graphic>
              </wp:anchor>
            </w:drawing>
          </mc:Choice>
          <mc:Fallback>
            <w:pict>
              <v:rect id="矩形 150" o:spid="_x0000_s1026" o:spt="1" style="position:absolute;left:0pt;margin-left:164.6pt;margin-top:9.3pt;height:38.25pt;width:150.8pt;z-index:251663360;mso-width-relative:page;mso-height-relative:page;" fillcolor="#FFFFFF" filled="t" stroked="t" coordsize="21600,21600" o:gfxdata="UEsDBAoAAAAAAIdO4kAAAAAAAAAAAAAAAAAEAAAAZHJzL1BLAwQUAAAACACHTuJAp+Tnl9oAAAAJ&#10;AQAADwAAAGRycy9kb3ducmV2LnhtbE2PQUvDQBCF74L/YRnBi9jdpCS0MZuCguhFq1VEb9vsmMRm&#10;Z0N209Z/73jS4/A+3nyvXB1dL/Y4hs6ThmSmQCDV3nbUaHh9ub1cgAjRkDW9J9TwjQFW1elJaQrr&#10;D/SM+01sBJdQKIyGNsahkDLULToTZn5A4uzTj85EPsdG2tEcuNz1MlUql850xB9aM+BNi/VuMzkN&#10;d/ePyfX7+iIz9W79oJ6m9CP7etP6/CxRVyAiHuMfDL/6rA4VO239RDaIXsM8XaaMcrDIQTCQzxVv&#10;2WpYZgnIqpT/F1Q/UEsDBBQAAAAIAIdO4kBs3+CeHAIAAHAEAAAOAAAAZHJzL2Uyb0RvYy54bWyt&#10;VM2O0zAQviPxDpbvNEm36W6jpnugFCEhWGnhAVzbSSz5T7bbpE+DxI2H4HEQr8HYCd3ucumBHJyZ&#10;zPjzfN+Ms74flERH7rwwusbFLMeIa2qY0G2Nv37ZvbnDyAeiGZFG8xqfuMf3m9ev1r2t+Nx0RjLu&#10;EIBoX/W2xl0ItsoyTzuuiJ8ZyzUEG+MUCeC6NmOO9ICuZDbP82XWG8esM5R7D1+3YxBPiO4aQNM0&#10;gvKtoQfFdRhRHZckACXfCevxJlXbNJyGz03jeUCyxsA0pBUOAXsf12yzJlXriO0EnUog15TwgpMi&#10;QsOhZ6gtCQQdnPgHSgnqjDdNmFGjspFIUgRYFPkLbR47YnniAlJ7exbd/z9Y+un44JBgMAn5DYii&#10;iYKe//7249fP76gok0C99RXkPdoHB3JFz4MZ2Q6NU/ENPNCQRD2dReVDQBQ+FquiLJYATSG2uCtv&#10;b8uoeva02zof3nOjUDRq7KBpSUty/OjDmPo3JR7mjRRsJ6RMjmv3b6VDRwIN3qVnQn+WJjXqa7wq&#10;5yXUQWBqG5gWMJUF5l636bxnO/x1wLGwLfHdWEBCGGdKicCjXKTqOGHvNEPhZEFaDZcKx2IUZxhJ&#10;DncwWikzECGvyQTtpI7QPE34pNJTY6IVhv0AoNHcG3aCJssPGgZnVSwW8SIk52aZ5+C4y8j+MnKw&#10;TrQdNKVIqkY0GMTUvenSxEm/9MG+/FFs/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n5OeX2gAA&#10;AAkBAAAPAAAAAAAAAAEAIAAAACIAAABkcnMvZG93bnJldi54bWxQSwECFAAUAAAACACHTuJAbN/g&#10;nhwCAABwBAAADgAAAAAAAAABACAAAAApAQAAZHJzL2Uyb0RvYy54bWxQSwUGAAAAAAYABgBZAQAA&#10;twUAAAAA&#10;">
                <v:fill on="t" focussize="0,0"/>
                <v:stroke color="#FFFFFF" joinstyle="miter"/>
                <v:imagedata o:title=""/>
                <o:lock v:ext="edit" aspectratio="f"/>
                <v:textbox inset="2.54mm,1mm,2.54mm,1mm">
                  <w:txbxContent>
                    <w:p>
                      <w:pPr>
                        <w:jc w:val="center"/>
                        <w:rPr>
                          <w:color w:val="000000"/>
                          <w:sz w:val="44"/>
                        </w:rPr>
                      </w:pPr>
                      <w:r>
                        <w:rPr>
                          <w:rFonts w:hint="eastAsia" w:ascii="黑体" w:hAnsi="宋体" w:eastAsia="黑体"/>
                          <w:color w:val="000000"/>
                          <w:sz w:val="44"/>
                        </w:rPr>
                        <w:t>一、环境空气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400" w:lineRule="exact"/>
        <w:jc w:val="center"/>
        <w:rPr>
          <w:rFonts w:ascii="黑体" w:hAnsi="宋体" w:eastAsia="黑体"/>
          <w:color w:val="000000"/>
          <w:sz w:val="36"/>
        </w:rPr>
      </w:pPr>
    </w:p>
    <w:p>
      <w:pPr>
        <w:pStyle w:val="6"/>
        <w:spacing w:line="400" w:lineRule="exact"/>
        <w:ind w:firstLine="600"/>
        <w:rPr>
          <w:rFonts w:ascii="宋体" w:hAnsi="宋体"/>
          <w:sz w:val="30"/>
        </w:rPr>
      </w:pPr>
    </w:p>
    <w:p>
      <w:pPr>
        <w:pStyle w:val="6"/>
        <w:spacing w:line="400" w:lineRule="exact"/>
        <w:ind w:firstLine="602"/>
        <w:rPr>
          <w:rFonts w:ascii="宋体" w:hAnsi="宋体"/>
          <w:b/>
          <w:sz w:val="30"/>
          <w:szCs w:val="30"/>
        </w:rPr>
      </w:pPr>
    </w:p>
    <w:p>
      <w:pPr>
        <w:pStyle w:val="6"/>
        <w:spacing w:line="400" w:lineRule="exact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环境空气质量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2022年，中心城区环境空气质量达到国家二级标准。全年优良天数比例85.8%，与上年相比下降5.7个百分点，其中优112天、占全年有效天数的30.7%，良201天、占全年有效天数的55.1%，轻度污染48天、占全年有效天数的13.2%，中度污染4天、占全年有效天数的1.1%，无重度污染和严重污染天。（见图1-1表1-1）。</w:t>
      </w:r>
    </w:p>
    <w:p>
      <w:pPr>
        <w:autoSpaceDE w:val="0"/>
        <w:autoSpaceDN w:val="0"/>
        <w:adjustRightInd w:val="0"/>
        <w:spacing w:line="400" w:lineRule="exact"/>
        <w:rPr>
          <w:rFonts w:hint="eastAsia" w:ascii="仿宋_GB2312" w:hAnsi="仿宋_GB2312" w:eastAsia="仿宋_GB2312" w:cs="仿宋_GB2312"/>
          <w:snapToGrid/>
          <w:color w:val="000000"/>
          <w:kern w:val="0"/>
        </w:rPr>
      </w:pPr>
    </w:p>
    <w:p>
      <w:pPr>
        <w:pStyle w:val="2"/>
        <w:numPr>
          <w:ilvl w:val="2"/>
          <w:numId w:val="0"/>
        </w:numPr>
        <w:ind w:left="9660" w:leftChars="0"/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  <w:snapToGrid/>
          <w:color w:val="000000"/>
          <w:kern w:val="0"/>
        </w:rPr>
      </w:pPr>
      <w:r>
        <w:rPr>
          <w:rFonts w:hint="eastAsia" w:ascii="仿宋" w:hAnsi="仿宋" w:cs="宋?"/>
          <w:kern w:val="0"/>
          <w:lang w:val="en-US" w:eastAsia="zh-CN"/>
        </w:rPr>
        <w:t xml:space="preserve">    </w:t>
      </w:r>
      <w:r>
        <w:rPr>
          <w:rFonts w:hint="eastAsia" w:ascii="仿宋" w:hAnsi="仿宋" w:cs="宋?"/>
          <w:kern w:val="0"/>
        </w:rPr>
        <w:drawing>
          <wp:inline distT="0" distB="0" distL="0" distR="0">
            <wp:extent cx="5927725" cy="2550795"/>
            <wp:effectExtent l="0" t="0" r="15875" b="1905"/>
            <wp:docPr id="3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7725" cy="255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中心城区空气质量在出现污染的天数中，以臭氧、细颗粒物、可吸入颗粒物为首要污染物的天数分别为29天、22天、1天；占比分别为55.8%、42.3%和1.9%，未出现以二氧化硫、二氧化氮和一氧化碳为首要污染物的超标天。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</w:rPr>
        <w:t>见图1-2）。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中心城区12-2月出现污染天气时的首要污染物为PM</w:t>
      </w:r>
      <w:r>
        <w:rPr>
          <w:rFonts w:hint="eastAsia" w:ascii="仿宋_GB2312" w:hAnsi="仿宋_GB2312" w:eastAsia="仿宋_GB2312" w:cs="仿宋_GB2312"/>
          <w:sz w:val="24"/>
          <w:szCs w:val="24"/>
          <w:vertAlign w:val="subscript"/>
        </w:rPr>
        <w:t>2.5</w:t>
      </w:r>
      <w:r>
        <w:rPr>
          <w:rFonts w:hint="eastAsia" w:ascii="仿宋_GB2312" w:hAnsi="仿宋_GB2312" w:eastAsia="仿宋_GB2312" w:cs="仿宋_GB2312"/>
          <w:sz w:val="24"/>
          <w:szCs w:val="24"/>
        </w:rPr>
        <w:t>，4-10月出现污染天气时的首要污染物为O</w:t>
      </w:r>
      <w:r>
        <w:rPr>
          <w:rFonts w:hint="eastAsia" w:ascii="仿宋_GB2312" w:hAnsi="仿宋_GB2312" w:eastAsia="仿宋_GB2312" w:cs="仿宋_GB2312"/>
          <w:sz w:val="24"/>
          <w:szCs w:val="24"/>
          <w:vertAlign w:val="subscript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</w:rPr>
        <w:t>，10月出现污染天气时的首要污染物为PM</w:t>
      </w:r>
      <w:r>
        <w:rPr>
          <w:rFonts w:hint="eastAsia" w:ascii="仿宋_GB2312" w:hAnsi="仿宋_GB2312" w:eastAsia="仿宋_GB2312" w:cs="仿宋_GB2312"/>
          <w:sz w:val="24"/>
          <w:szCs w:val="24"/>
          <w:vertAlign w:val="subscript"/>
        </w:rPr>
        <w:t>10</w:t>
      </w:r>
      <w:r>
        <w:rPr>
          <w:rFonts w:hint="eastAsia" w:ascii="仿宋_GB2312" w:hAnsi="仿宋_GB2312" w:eastAsia="仿宋_GB2312" w:cs="仿宋_GB2312"/>
          <w:sz w:val="24"/>
          <w:szCs w:val="24"/>
        </w:rPr>
        <w:t>（见图1-2）。</w:t>
      </w:r>
    </w:p>
    <w:p>
      <w:pPr>
        <w:pStyle w:val="2"/>
        <w:numPr>
          <w:ilvl w:val="2"/>
          <w:numId w:val="0"/>
        </w:numPr>
        <w:tabs>
          <w:tab w:val="left" w:pos="6696"/>
        </w:tabs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311785</wp:posOffset>
            </wp:positionV>
            <wp:extent cx="6263640" cy="2592070"/>
            <wp:effectExtent l="0" t="0" r="3810" b="17780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592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6"/>
        <w:tabs>
          <w:tab w:val="left" w:pos="1250"/>
        </w:tabs>
        <w:spacing w:line="400" w:lineRule="exact"/>
        <w:ind w:firstLine="600"/>
        <w:rPr>
          <w:rFonts w:hint="eastAsia" w:ascii="仿宋_GB2312" w:hAnsi="仿宋_GB2312" w:eastAsia="仿宋_GB2312" w:cs="仿宋_GB2312"/>
          <w:sz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lang w:eastAsia="zh-CN"/>
        </w:rPr>
        <w:tab/>
      </w:r>
    </w:p>
    <w:p>
      <w:pPr>
        <w:autoSpaceDE w:val="0"/>
        <w:autoSpaceDN w:val="0"/>
        <w:adjustRightInd w:val="0"/>
        <w:spacing w:before="240" w:after="120" w:line="40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</w:rPr>
        <w:t xml:space="preserve">　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 xml:space="preserve">   </w:t>
      </w:r>
    </w:p>
    <w:p>
      <w:pPr>
        <w:pStyle w:val="7"/>
        <w:spacing w:before="0" w:after="0" w:line="240" w:lineRule="auto"/>
        <w:ind w:firstLine="480"/>
        <w:rPr>
          <w:rFonts w:hint="eastAsia" w:ascii="仿宋_GB2312" w:hAnsi="仿宋_GB2312" w:eastAsia="仿宋_GB2312" w:cs="仿宋_GB2312"/>
          <w:color w:val="000000"/>
          <w:sz w:val="24"/>
        </w:rPr>
      </w:pPr>
    </w:p>
    <w:p>
      <w:pPr>
        <w:pStyle w:val="7"/>
        <w:spacing w:before="0" w:after="0" w:line="240" w:lineRule="auto"/>
        <w:ind w:firstLine="480"/>
        <w:rPr>
          <w:rFonts w:hint="eastAsia" w:ascii="仿宋_GB2312" w:hAnsi="仿宋_GB2312" w:eastAsia="仿宋_GB2312" w:cs="仿宋_GB2312"/>
          <w:color w:val="000000"/>
          <w:sz w:val="24"/>
        </w:rPr>
      </w:pPr>
    </w:p>
    <w:p>
      <w:pPr>
        <w:pStyle w:val="6"/>
        <w:spacing w:line="400" w:lineRule="exact"/>
        <w:ind w:firstLine="0" w:firstLineChars="0"/>
        <w:jc w:val="center"/>
        <w:rPr>
          <w:rFonts w:hint="eastAsia" w:ascii="仿宋_GB2312" w:hAnsi="仿宋_GB2312" w:eastAsia="仿宋_GB2312" w:cs="仿宋_GB2312"/>
          <w:sz w:val="32"/>
        </w:rPr>
      </w:pPr>
    </w:p>
    <w:p>
      <w:pPr>
        <w:pStyle w:val="6"/>
        <w:spacing w:line="400" w:lineRule="exact"/>
        <w:ind w:firstLine="0" w:firstLineChars="0"/>
        <w:rPr>
          <w:rFonts w:hint="eastAsia" w:ascii="仿宋_GB2312" w:hAnsi="仿宋_GB2312" w:eastAsia="仿宋_GB2312" w:cs="仿宋_GB2312"/>
          <w:sz w:val="32"/>
        </w:rPr>
      </w:pPr>
    </w:p>
    <w:p>
      <w:pPr>
        <w:pStyle w:val="6"/>
        <w:spacing w:line="400" w:lineRule="exact"/>
        <w:ind w:firstLine="0" w:firstLineChars="0"/>
        <w:rPr>
          <w:rFonts w:hint="eastAsia" w:ascii="仿宋_GB2312" w:hAnsi="仿宋_GB2312" w:eastAsia="仿宋_GB2312" w:cs="仿宋_GB2312"/>
          <w:sz w:val="32"/>
        </w:rPr>
      </w:pPr>
    </w:p>
    <w:p>
      <w:pPr>
        <w:pStyle w:val="6"/>
        <w:spacing w:line="400" w:lineRule="exact"/>
        <w:ind w:firstLine="0" w:firstLineChars="0"/>
        <w:jc w:val="center"/>
        <w:rPr>
          <w:rFonts w:hint="eastAsia" w:ascii="仿宋_GB2312" w:hAnsi="仿宋_GB2312" w:eastAsia="仿宋_GB2312" w:cs="仿宋_GB2312"/>
          <w:sz w:val="32"/>
        </w:rPr>
      </w:pPr>
    </w:p>
    <w:p>
      <w:pPr>
        <w:pStyle w:val="6"/>
        <w:spacing w:line="400" w:lineRule="exact"/>
        <w:ind w:firstLine="0" w:firstLineChars="0"/>
        <w:jc w:val="center"/>
        <w:rPr>
          <w:rFonts w:hint="eastAsia" w:ascii="仿宋_GB2312" w:hAnsi="仿宋_GB2312" w:eastAsia="仿宋_GB2312" w:cs="仿宋_GB2312"/>
          <w:sz w:val="32"/>
        </w:rPr>
      </w:pPr>
    </w:p>
    <w:p>
      <w:pPr>
        <w:ind w:firstLine="630" w:firstLineChars="300"/>
        <w:rPr>
          <w:rFonts w:hint="eastAsia" w:ascii="仿宋" w:hAnsi="仿宋"/>
        </w:rPr>
      </w:pPr>
    </w:p>
    <w:p>
      <w:pPr>
        <w:ind w:firstLine="720" w:firstLineChars="300"/>
      </w:pPr>
      <w:r>
        <w:rPr>
          <w:rFonts w:hint="eastAsia" w:ascii="仿宋_GB2312" w:hAnsi="仿宋_GB2312" w:eastAsia="仿宋_GB2312" w:cs="仿宋_GB2312"/>
          <w:sz w:val="24"/>
          <w:szCs w:val="24"/>
        </w:rPr>
        <w:t>各国控监测点环境空气质量综合指数范围在3.32～3.87之间，最高点省站为3.87，最低点林科所为3.32（见图1-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</w:rPr>
        <w:t>）。</w:t>
      </w:r>
    </w:p>
    <w:p>
      <w:pPr>
        <w:pStyle w:val="6"/>
        <w:spacing w:line="400" w:lineRule="exact"/>
        <w:ind w:firstLine="0" w:firstLineChars="0"/>
        <w:jc w:val="center"/>
        <w:rPr>
          <w:rFonts w:hint="eastAsia" w:ascii="仿宋_GB2312" w:hAnsi="仿宋_GB2312" w:eastAsia="仿宋_GB2312" w:cs="仿宋_GB2312"/>
          <w:sz w:val="32"/>
        </w:rPr>
      </w:pPr>
    </w:p>
    <w:p>
      <w:pPr>
        <w:pStyle w:val="6"/>
        <w:spacing w:line="400" w:lineRule="exact"/>
        <w:ind w:firstLine="0" w:firstLineChars="0"/>
        <w:jc w:val="center"/>
        <w:rPr>
          <w:rFonts w:hint="eastAsia" w:ascii="仿宋_GB2312" w:hAnsi="仿宋_GB2312" w:eastAsia="仿宋_GB2312" w:cs="仿宋_GB2312"/>
          <w:sz w:val="32"/>
        </w:rPr>
      </w:pPr>
      <w:r>
        <w:rPr>
          <w:rFonts w:ascii="宋体" w:hAnsi="宋体"/>
          <w:b/>
          <w:sz w:val="30"/>
          <w:szCs w:val="30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column">
              <wp:posOffset>366395</wp:posOffset>
            </wp:positionH>
            <wp:positionV relativeFrom="paragraph">
              <wp:posOffset>4445</wp:posOffset>
            </wp:positionV>
            <wp:extent cx="5293360" cy="2636520"/>
            <wp:effectExtent l="0" t="0" r="2540" b="11430"/>
            <wp:wrapNone/>
            <wp:docPr id="20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>
      <w:pPr>
        <w:pStyle w:val="6"/>
        <w:spacing w:line="400" w:lineRule="exact"/>
        <w:ind w:firstLine="0" w:firstLineChars="0"/>
        <w:jc w:val="center"/>
        <w:rPr>
          <w:rFonts w:hint="eastAsia" w:ascii="仿宋_GB2312" w:hAnsi="仿宋_GB2312" w:eastAsia="仿宋_GB2312" w:cs="仿宋_GB2312"/>
          <w:sz w:val="32"/>
        </w:rPr>
      </w:pPr>
    </w:p>
    <w:p>
      <w:pPr>
        <w:pStyle w:val="6"/>
        <w:spacing w:line="400" w:lineRule="exact"/>
        <w:ind w:firstLine="0" w:firstLineChars="0"/>
        <w:jc w:val="center"/>
        <w:rPr>
          <w:rFonts w:hint="eastAsia" w:ascii="仿宋_GB2312" w:hAnsi="仿宋_GB2312" w:eastAsia="仿宋_GB2312" w:cs="仿宋_GB2312"/>
          <w:sz w:val="32"/>
        </w:rPr>
      </w:pPr>
    </w:p>
    <w:p>
      <w:pPr>
        <w:pStyle w:val="6"/>
        <w:spacing w:line="400" w:lineRule="exact"/>
        <w:ind w:firstLine="0" w:firstLineChars="0"/>
        <w:jc w:val="center"/>
        <w:rPr>
          <w:rFonts w:hint="eastAsia" w:ascii="仿宋_GB2312" w:hAnsi="仿宋_GB2312" w:eastAsia="仿宋_GB2312" w:cs="仿宋_GB2312"/>
          <w:sz w:val="32"/>
        </w:rPr>
      </w:pPr>
    </w:p>
    <w:p>
      <w:pPr>
        <w:pStyle w:val="6"/>
        <w:spacing w:line="400" w:lineRule="exact"/>
        <w:ind w:firstLine="0" w:firstLineChars="0"/>
        <w:jc w:val="center"/>
        <w:rPr>
          <w:rFonts w:hint="eastAsia" w:ascii="仿宋_GB2312" w:hAnsi="仿宋_GB2312" w:eastAsia="仿宋_GB2312" w:cs="仿宋_GB2312"/>
          <w:sz w:val="32"/>
        </w:rPr>
      </w:pPr>
    </w:p>
    <w:p>
      <w:pPr>
        <w:pStyle w:val="6"/>
        <w:spacing w:line="400" w:lineRule="exact"/>
        <w:ind w:firstLine="0" w:firstLineChars="0"/>
        <w:jc w:val="center"/>
        <w:rPr>
          <w:rFonts w:hint="eastAsia" w:ascii="仿宋_GB2312" w:hAnsi="仿宋_GB2312" w:eastAsia="仿宋_GB2312" w:cs="仿宋_GB2312"/>
          <w:sz w:val="32"/>
        </w:rPr>
      </w:pPr>
    </w:p>
    <w:p>
      <w:pPr>
        <w:pStyle w:val="6"/>
        <w:spacing w:line="400" w:lineRule="exact"/>
        <w:ind w:firstLine="0" w:firstLineChars="0"/>
        <w:jc w:val="center"/>
        <w:rPr>
          <w:rFonts w:hint="eastAsia" w:ascii="仿宋_GB2312" w:hAnsi="仿宋_GB2312" w:eastAsia="仿宋_GB2312" w:cs="仿宋_GB2312"/>
          <w:sz w:val="32"/>
        </w:rPr>
      </w:pPr>
    </w:p>
    <w:p>
      <w:pPr>
        <w:pStyle w:val="6"/>
        <w:spacing w:line="400" w:lineRule="exact"/>
        <w:ind w:firstLine="0" w:firstLineChars="0"/>
        <w:jc w:val="center"/>
        <w:rPr>
          <w:rFonts w:hint="eastAsia" w:ascii="仿宋_GB2312" w:hAnsi="仿宋_GB2312" w:eastAsia="仿宋_GB2312" w:cs="仿宋_GB2312"/>
          <w:sz w:val="32"/>
        </w:rPr>
      </w:pPr>
    </w:p>
    <w:p>
      <w:pPr>
        <w:pStyle w:val="6"/>
        <w:spacing w:line="400" w:lineRule="exact"/>
        <w:ind w:firstLine="0" w:firstLineChars="0"/>
        <w:jc w:val="center"/>
        <w:rPr>
          <w:rFonts w:hint="eastAsia" w:ascii="仿宋_GB2312" w:hAnsi="仿宋_GB2312" w:eastAsia="仿宋_GB2312" w:cs="仿宋_GB2312"/>
          <w:sz w:val="32"/>
        </w:rPr>
      </w:pPr>
    </w:p>
    <w:p>
      <w:pPr>
        <w:pStyle w:val="6"/>
        <w:spacing w:line="400" w:lineRule="exact"/>
        <w:ind w:firstLine="0" w:firstLineChars="0"/>
        <w:jc w:val="center"/>
        <w:rPr>
          <w:rFonts w:hint="eastAsia" w:ascii="仿宋_GB2312" w:hAnsi="仿宋_GB2312" w:eastAsia="仿宋_GB2312" w:cs="仿宋_GB2312"/>
          <w:sz w:val="32"/>
        </w:rPr>
      </w:pPr>
    </w:p>
    <w:p>
      <w:pPr>
        <w:pStyle w:val="6"/>
        <w:spacing w:line="400" w:lineRule="exact"/>
        <w:ind w:firstLine="0" w:firstLineChars="0"/>
        <w:jc w:val="center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</w:t>
      </w:r>
    </w:p>
    <w:p>
      <w:pPr>
        <w:pStyle w:val="6"/>
        <w:spacing w:line="400" w:lineRule="exact"/>
        <w:ind w:firstLine="0" w:firstLineChars="0"/>
        <w:jc w:val="center"/>
        <w:rPr>
          <w:rFonts w:hint="eastAsia" w:ascii="仿宋_GB2312" w:hAnsi="仿宋_GB2312" w:eastAsia="仿宋_GB2312" w:cs="仿宋_GB2312"/>
          <w:sz w:val="32"/>
          <w:lang w:val="en-US" w:eastAsia="zh-CN"/>
        </w:rPr>
      </w:pPr>
    </w:p>
    <w:p>
      <w:pPr>
        <w:pStyle w:val="6"/>
        <w:spacing w:line="400" w:lineRule="exact"/>
        <w:ind w:firstLine="0" w:firstLineChars="0"/>
        <w:jc w:val="center"/>
        <w:rPr>
          <w:rFonts w:hint="eastAsia" w:ascii="仿宋_GB2312" w:hAnsi="仿宋_GB2312" w:eastAsia="仿宋_GB2312" w:cs="仿宋_GB2312"/>
          <w:sz w:val="32"/>
          <w:lang w:val="en-US" w:eastAsia="zh-CN"/>
        </w:rPr>
      </w:pPr>
    </w:p>
    <w:p>
      <w:pPr>
        <w:pStyle w:val="6"/>
        <w:spacing w:line="400" w:lineRule="exact"/>
        <w:ind w:firstLine="0" w:firstLineChars="0"/>
        <w:jc w:val="both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114300</wp:posOffset>
                </wp:positionV>
                <wp:extent cx="1915160" cy="485775"/>
                <wp:effectExtent l="4445" t="4445" r="23495" b="5080"/>
                <wp:wrapNone/>
                <wp:docPr id="1041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16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440" w:firstLineChars="100"/>
                              <w:jc w:val="both"/>
                              <w:rPr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color w:val="000000"/>
                                <w:sz w:val="44"/>
                              </w:rPr>
                              <w:t>二、水环境</w:t>
                            </w:r>
                          </w:p>
                        </w:txbxContent>
                      </wps:txbx>
                      <wps:bodyPr lIns="91440" tIns="36000" rIns="91440" bIns="36000"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172.7pt;margin-top:9pt;height:38.25pt;width:150.8pt;z-index:251664384;mso-width-relative:page;mso-height-relative:page;" fillcolor="#FFFFFF" filled="t" stroked="t" coordsize="21600,21600" o:gfxdata="UEsDBAoAAAAAAIdO4kAAAAAAAAAAAAAAAAAEAAAAZHJzL1BLAwQUAAAACACHTuJAqD3cPtsAAAAJ&#10;AQAADwAAAGRycy9kb3ducmV2LnhtbE2PwU7DMBBE70j8g7VIXBC1U5JSQpxKICG4lEJBCG7beElC&#10;YzuKnbb8PcsJbjuap9mZYnGwndjREFrvNCQTBYJc5U3rag2vL3fncxAhojPYeUcavinAojw+KjA3&#10;fu+eabeOteAQF3LU0MTY51KGqiGLYeJ7cux9+sFiZDnU0gy453DbyalSM2mxdfyhwZ5uG6q269Fq&#10;uH94TG7eV2cZVtvVUj2N04/s603r05NEXYOIdIh/MPzW5+pQcqeNH50JotNwkWYpo2zMeRMDs/SS&#10;j42GqzQDWRby/4LyB1BLAwQUAAAACACHTuJAoIbBER4CAABvBAAADgAAAGRycy9lMm9Eb2MueG1s&#10;rVTNjtMwEL4j8Q6W7zRJabvbqOkeKEVICFZaeADXmSSW/CfbbdKnQeLGQ/A4iNdg7JRud/fSAz2k&#10;M5nxN/N9M87qblCSHMB5YXRFi0lOCWhuaqHbin77un1zS4kPTNdMGg0VPYKnd+vXr1a9LWFqOiNr&#10;cARBtC97W9EuBFtmmecdKOYnxoLGYGOcYgFd12a1Yz2iK5lN83yR9cbV1hkO3uPbzRikJ0R3DaBp&#10;GsFhY/hegQ4jqgPJAlLynbCerlO3TQM8fGkaD4HIiiLTkJ5YBO1dfGbrFStbx2wn+KkFdk0Lzzgp&#10;JjQWPUNtWGBk78QLKCW4M940YcKNykYiSRFkUeTPtHnomIXEBaX29iy6/3+w/PPh3hFR4ybks4IS&#10;zRTO/M/3n79//SDTedSnt77EtAd7706eRzOSHRqn4j/SIEPS9HjWFIZAOL4slsW8WKDcHGOz2/nN&#10;TQLNHk9b58MHMIpEo6IOZ5akZIdPPmBFTP2XEot5I0W9FVImx7W7d9KRA8P5btMvtoxHnqRJTfqK&#10;LudIiHCGS9vgsqCpLBL3uk31npzw1wHHxjbMd2MDCWFcKSUCRLlY2QGr3+uahKNFZTXeKRqbUVBT&#10;IgGvYLRSZmBCXpOJ7KSO0JAW/KRSHNM4mGiFYTcgaDR3pj7ijOVHjXuzLGazeA+S83aR5+i4y8ju&#10;MrK3TrQdDqVIqkY03MOk7+nOxEW/9NG+/E6s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oPdw+&#10;2wAAAAkBAAAPAAAAAAAAAAEAIAAAACIAAABkcnMvZG93bnJldi54bWxQSwECFAAUAAAACACHTuJA&#10;oIbBER4CAABvBAAADgAAAAAAAAABACAAAAAqAQAAZHJzL2Uyb0RvYy54bWxQSwUGAAAAAAYABgBZ&#10;AQAAugUAAAAA&#10;">
                <v:fill on="t" focussize="0,0"/>
                <v:stroke color="#FFFFFF" joinstyle="miter"/>
                <v:imagedata o:title=""/>
                <o:lock v:ext="edit" aspectratio="f"/>
                <v:textbox inset="2.54mm,1mm,2.54mm,1mm">
                  <w:txbxContent>
                    <w:p>
                      <w:pPr>
                        <w:ind w:firstLine="440" w:firstLineChars="100"/>
                        <w:jc w:val="both"/>
                        <w:rPr>
                          <w:color w:val="000000"/>
                          <w:sz w:val="44"/>
                        </w:rPr>
                      </w:pPr>
                      <w:r>
                        <w:rPr>
                          <w:rFonts w:hint="eastAsia" w:ascii="黑体" w:hAnsi="宋体" w:eastAsia="黑体"/>
                          <w:color w:val="000000"/>
                          <w:sz w:val="44"/>
                        </w:rPr>
                        <w:t>二、水环境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6"/>
        <w:spacing w:line="400" w:lineRule="exact"/>
        <w:ind w:firstLine="0" w:firstLineChars="0"/>
        <w:jc w:val="center"/>
        <w:rPr>
          <w:rFonts w:hint="eastAsia" w:ascii="仿宋_GB2312" w:hAnsi="仿宋_GB2312" w:eastAsia="仿宋_GB2312" w:cs="仿宋_GB2312"/>
          <w:sz w:val="32"/>
        </w:rPr>
      </w:pPr>
    </w:p>
    <w:p>
      <w:pPr>
        <w:pStyle w:val="6"/>
        <w:spacing w:line="400" w:lineRule="exact"/>
        <w:ind w:firstLine="0" w:firstLineChars="0"/>
        <w:jc w:val="center"/>
        <w:rPr>
          <w:rFonts w:hint="eastAsia" w:ascii="仿宋_GB2312" w:hAnsi="仿宋_GB2312" w:eastAsia="仿宋_GB2312" w:cs="仿宋_GB2312"/>
          <w:sz w:val="32"/>
        </w:rPr>
      </w:pPr>
    </w:p>
    <w:p>
      <w:pPr>
        <w:pStyle w:val="6"/>
        <w:spacing w:line="400" w:lineRule="exact"/>
        <w:ind w:left="0" w:leftChars="0" w:firstLine="602" w:firstLineChars="200"/>
        <w:rPr>
          <w:rFonts w:hint="eastAsia" w:ascii="仿宋_GB2312" w:hAnsi="仿宋_GB2312" w:eastAsia="仿宋_GB2312" w:cs="仿宋_GB2312"/>
          <w:b/>
          <w:bCs/>
          <w:sz w:val="30"/>
        </w:rPr>
      </w:pPr>
      <w:r>
        <w:rPr>
          <w:rFonts w:hint="eastAsia" w:ascii="仿宋_GB2312" w:hAnsi="仿宋_GB2312" w:eastAsia="仿宋_GB2312" w:cs="仿宋_GB2312"/>
          <w:b/>
          <w:bCs/>
          <w:color w:val="003300"/>
          <w:sz w:val="30"/>
        </w:rPr>
        <w:t>饮用水源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color w:val="000000"/>
          <w:sz w:val="24"/>
          <w:szCs w:val="18"/>
        </w:rPr>
      </w:pP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2022年，城区7个集中式饮用水源地水质均达到Ⅲ类标准，达标率为100%。城区饮用水综合水质指数为3.5。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</w:rPr>
        <w:t>见表2-1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bookmarkStart w:id="0" w:name="_GoBack"/>
      <w:bookmarkEnd w:id="0"/>
    </w:p>
    <w:p>
      <w:pPr>
        <w:tabs>
          <w:tab w:val="left" w:pos="1955"/>
        </w:tabs>
        <w:spacing w:line="400" w:lineRule="exact"/>
        <w:ind w:firstLine="446" w:firstLineChars="148"/>
        <w:rPr>
          <w:rFonts w:hint="eastAsia" w:ascii="仿宋_GB2312" w:hAnsi="仿宋_GB2312" w:eastAsia="仿宋_GB2312" w:cs="仿宋_GB2312"/>
          <w:b/>
          <w:bCs/>
          <w:color w:val="003300"/>
          <w:sz w:val="30"/>
          <w:szCs w:val="1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3300"/>
          <w:sz w:val="30"/>
          <w:szCs w:val="18"/>
          <w:lang w:eastAsia="zh-CN"/>
        </w:rPr>
        <w:tab/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 w:ascii="黑体" w:hAnsi="黑体" w:eastAsia="黑体" w:cs="宋体"/>
          <w:bCs/>
          <w:szCs w:val="21"/>
        </w:rPr>
        <w:t>表2-1</w:t>
      </w:r>
      <w:r>
        <w:rPr>
          <w:rFonts w:hint="eastAsia" w:ascii="黑体" w:hAnsi="宋体" w:eastAsia="黑体" w:cs="宋体"/>
          <w:bCs/>
          <w:szCs w:val="21"/>
        </w:rPr>
        <w:t xml:space="preserve">             </w:t>
      </w:r>
      <w:r>
        <w:rPr>
          <w:rFonts w:hint="eastAsia" w:ascii="黑体" w:hAnsi="黑体" w:eastAsia="黑体" w:cs="宋体"/>
          <w:bCs/>
          <w:szCs w:val="21"/>
        </w:rPr>
        <w:t>2022年南昌城区饮用水源地评价结果</w:t>
      </w:r>
    </w:p>
    <w:tbl>
      <w:tblPr>
        <w:tblStyle w:val="14"/>
        <w:tblW w:w="4998" w:type="pct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7"/>
        <w:gridCol w:w="1499"/>
        <w:gridCol w:w="1501"/>
        <w:gridCol w:w="1122"/>
        <w:gridCol w:w="1314"/>
        <w:gridCol w:w="2433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95" w:type="pct"/>
            <w:vMerge w:val="restart"/>
            <w:tcBorders>
              <w:top w:val="single" w:color="auto" w:sz="8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6E3BC"/>
            <w:vAlign w:val="center"/>
          </w:tcPr>
          <w:p>
            <w:pPr>
              <w:pStyle w:val="20"/>
              <w:ind w:firstLine="422"/>
              <w:rPr>
                <w:b/>
                <w:bCs/>
              </w:rPr>
            </w:pPr>
            <w:r>
              <w:rPr>
                <w:rFonts w:hint="eastAsia" w:ascii="仿宋" w:hAnsi="仿宋"/>
                <w:b/>
                <w:bCs/>
              </w:rPr>
              <w:t>水库名称</w:t>
            </w:r>
          </w:p>
        </w:tc>
        <w:tc>
          <w:tcPr>
            <w:tcW w:w="1489" w:type="pct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6E3BC"/>
            <w:vAlign w:val="center"/>
          </w:tcPr>
          <w:p>
            <w:pPr>
              <w:pStyle w:val="20"/>
              <w:rPr>
                <w:b/>
                <w:bCs/>
              </w:rPr>
            </w:pPr>
            <w:r>
              <w:rPr>
                <w:rFonts w:hint="eastAsia" w:ascii="仿宋" w:hAnsi="仿宋"/>
                <w:b/>
                <w:bCs/>
              </w:rPr>
              <w:t>平均综合污染指数</w:t>
            </w:r>
          </w:p>
        </w:tc>
        <w:tc>
          <w:tcPr>
            <w:tcW w:w="1209" w:type="pct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6E3BC"/>
            <w:vAlign w:val="center"/>
          </w:tcPr>
          <w:p>
            <w:pPr>
              <w:pStyle w:val="20"/>
              <w:rPr>
                <w:b/>
                <w:bCs/>
              </w:rPr>
            </w:pPr>
            <w:r>
              <w:rPr>
                <w:rFonts w:hint="eastAsia" w:ascii="仿宋" w:hAnsi="仿宋"/>
                <w:b/>
                <w:bCs/>
              </w:rPr>
              <w:t>水质状况</w:t>
            </w:r>
          </w:p>
        </w:tc>
        <w:tc>
          <w:tcPr>
            <w:tcW w:w="1208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D6E3BC"/>
            <w:vAlign w:val="center"/>
          </w:tcPr>
          <w:p>
            <w:pPr>
              <w:pStyle w:val="20"/>
              <w:rPr>
                <w:b/>
                <w:bCs/>
              </w:rPr>
            </w:pPr>
            <w:r>
              <w:rPr>
                <w:rFonts w:hint="eastAsia" w:ascii="仿宋" w:hAnsi="仿宋"/>
                <w:b/>
                <w:bCs/>
              </w:rPr>
              <w:t>年度超标项目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44" w:type="pc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shd w:val="clear" w:color="auto" w:fill="D6E3BC"/>
            <w:vAlign w:val="center"/>
          </w:tcPr>
          <w:p>
            <w:pPr>
              <w:pStyle w:val="20"/>
              <w:rPr>
                <w:b/>
                <w:bCs/>
              </w:rPr>
            </w:pPr>
            <w:r>
              <w:rPr>
                <w:rFonts w:hint="eastAsia" w:cs="Times New Roman"/>
                <w:b/>
                <w:bCs/>
              </w:rPr>
              <w:t>2021</w:t>
            </w:r>
          </w:p>
        </w:tc>
        <w:tc>
          <w:tcPr>
            <w:tcW w:w="744" w:type="pc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shd w:val="clear" w:color="auto" w:fill="D6E3BC"/>
            <w:vAlign w:val="center"/>
          </w:tcPr>
          <w:p>
            <w:pPr>
              <w:pStyle w:val="20"/>
              <w:rPr>
                <w:b/>
                <w:bCs/>
              </w:rPr>
            </w:pPr>
            <w:r>
              <w:rPr>
                <w:rFonts w:hint="eastAsia" w:cs="Times New Roman"/>
                <w:b/>
                <w:bCs/>
              </w:rPr>
              <w:t>2022</w:t>
            </w:r>
          </w:p>
        </w:tc>
        <w:tc>
          <w:tcPr>
            <w:tcW w:w="557" w:type="pc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shd w:val="clear" w:color="auto" w:fill="D6E3BC"/>
            <w:vAlign w:val="center"/>
          </w:tcPr>
          <w:p>
            <w:pPr>
              <w:pStyle w:val="20"/>
              <w:rPr>
                <w:b/>
                <w:bCs/>
              </w:rPr>
            </w:pPr>
            <w:r>
              <w:rPr>
                <w:rFonts w:hint="eastAsia" w:cs="Times New Roman"/>
                <w:b/>
                <w:bCs/>
              </w:rPr>
              <w:t>2021</w:t>
            </w:r>
          </w:p>
        </w:tc>
        <w:tc>
          <w:tcPr>
            <w:tcW w:w="652" w:type="pc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shd w:val="clear" w:color="auto" w:fill="D6E3BC"/>
            <w:vAlign w:val="center"/>
          </w:tcPr>
          <w:p>
            <w:pPr>
              <w:pStyle w:val="20"/>
              <w:rPr>
                <w:b/>
                <w:bCs/>
              </w:rPr>
            </w:pPr>
            <w:r>
              <w:rPr>
                <w:rFonts w:hint="eastAsia" w:cs="Times New Roman"/>
                <w:b/>
                <w:bCs/>
              </w:rPr>
              <w:t>2022</w:t>
            </w:r>
          </w:p>
        </w:tc>
        <w:tc>
          <w:tcPr>
            <w:tcW w:w="1208" w:type="pc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nil"/>
            </w:tcBorders>
            <w:shd w:val="clear" w:color="auto" w:fill="D6E3BC"/>
            <w:vAlign w:val="center"/>
          </w:tcPr>
          <w:p>
            <w:pPr>
              <w:pStyle w:val="20"/>
              <w:rPr>
                <w:b/>
                <w:bCs/>
              </w:rPr>
            </w:pPr>
            <w:r>
              <w:rPr>
                <w:rFonts w:hint="eastAsia" w:ascii="仿宋" w:hAnsi="仿宋"/>
                <w:b/>
                <w:bCs/>
              </w:rPr>
              <w:t>（超标倍数）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95" w:type="pct"/>
            <w:tcBorders>
              <w:top w:val="single" w:color="auto" w:sz="8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0"/>
            </w:pPr>
            <w:r>
              <w:rPr>
                <w:rFonts w:hint="eastAsia" w:ascii="仿宋" w:hAnsi="仿宋"/>
              </w:rPr>
              <w:t>城区</w:t>
            </w:r>
          </w:p>
        </w:tc>
        <w:tc>
          <w:tcPr>
            <w:tcW w:w="744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</w:pPr>
            <w:r>
              <w:rPr>
                <w:rFonts w:hint="eastAsia" w:cs="Times New Roman"/>
              </w:rPr>
              <w:t>3.6</w:t>
            </w:r>
          </w:p>
        </w:tc>
        <w:tc>
          <w:tcPr>
            <w:tcW w:w="744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</w:pPr>
            <w:r>
              <w:rPr>
                <w:rFonts w:hint="eastAsia" w:cs="Times New Roman"/>
              </w:rPr>
              <w:t>3.5</w:t>
            </w:r>
          </w:p>
        </w:tc>
        <w:tc>
          <w:tcPr>
            <w:tcW w:w="557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</w:pPr>
            <w:r>
              <w:rPr>
                <w:rFonts w:cs="Times New Roman"/>
              </w:rPr>
              <w:t>Ⅲ</w:t>
            </w:r>
          </w:p>
        </w:tc>
        <w:tc>
          <w:tcPr>
            <w:tcW w:w="652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</w:pPr>
            <w:r>
              <w:t>Ⅱ</w:t>
            </w:r>
          </w:p>
        </w:tc>
        <w:tc>
          <w:tcPr>
            <w:tcW w:w="1208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pStyle w:val="20"/>
            </w:pPr>
            <w:r>
              <w:rPr>
                <w:rFonts w:hint="eastAsia" w:cs="Times New Roman"/>
              </w:rPr>
              <w:t>/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95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0"/>
            </w:pPr>
            <w:r>
              <w:rPr>
                <w:rFonts w:hint="eastAsia" w:ascii="仿宋" w:hAnsi="仿宋"/>
              </w:rPr>
              <w:t>青云水厂</w:t>
            </w:r>
          </w:p>
        </w:tc>
        <w:tc>
          <w:tcPr>
            <w:tcW w:w="7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</w:pPr>
            <w:r>
              <w:rPr>
                <w:rFonts w:hint="eastAsia" w:cs="Times New Roman"/>
              </w:rPr>
              <w:t>3.6</w:t>
            </w:r>
          </w:p>
        </w:tc>
        <w:tc>
          <w:tcPr>
            <w:tcW w:w="7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</w:pPr>
            <w:r>
              <w:rPr>
                <w:rFonts w:hint="eastAsia" w:cs="Times New Roman"/>
              </w:rPr>
              <w:t>3.5</w:t>
            </w:r>
          </w:p>
        </w:tc>
        <w:tc>
          <w:tcPr>
            <w:tcW w:w="5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</w:pPr>
            <w:r>
              <w:rPr>
                <w:rFonts w:cs="Times New Roman"/>
              </w:rPr>
              <w:t>Ⅲ</w:t>
            </w:r>
          </w:p>
        </w:tc>
        <w:tc>
          <w:tcPr>
            <w:tcW w:w="6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</w:pPr>
            <w:r>
              <w:t>Ⅱ</w:t>
            </w:r>
          </w:p>
        </w:tc>
        <w:tc>
          <w:tcPr>
            <w:tcW w:w="12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pStyle w:val="20"/>
            </w:pPr>
            <w:r>
              <w:rPr>
                <w:rFonts w:hint="eastAsia" w:cs="Times New Roman"/>
              </w:rPr>
              <w:t>/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95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0"/>
            </w:pPr>
            <w:r>
              <w:rPr>
                <w:rFonts w:hint="eastAsia" w:ascii="仿宋" w:hAnsi="仿宋"/>
              </w:rPr>
              <w:t>双港水厂</w:t>
            </w:r>
          </w:p>
        </w:tc>
        <w:tc>
          <w:tcPr>
            <w:tcW w:w="7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</w:pPr>
            <w:r>
              <w:rPr>
                <w:rFonts w:hint="eastAsia" w:cs="Times New Roman"/>
              </w:rPr>
              <w:t>3.7</w:t>
            </w:r>
          </w:p>
        </w:tc>
        <w:tc>
          <w:tcPr>
            <w:tcW w:w="7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</w:pPr>
            <w:r>
              <w:rPr>
                <w:rFonts w:hint="eastAsia" w:cs="Times New Roman"/>
              </w:rPr>
              <w:t>3.8</w:t>
            </w:r>
          </w:p>
        </w:tc>
        <w:tc>
          <w:tcPr>
            <w:tcW w:w="5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</w:pPr>
            <w:r>
              <w:rPr>
                <w:rFonts w:cs="Times New Roman"/>
              </w:rPr>
              <w:t>Ⅲ</w:t>
            </w:r>
          </w:p>
        </w:tc>
        <w:tc>
          <w:tcPr>
            <w:tcW w:w="6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</w:pPr>
            <w:r>
              <w:t>Ⅱ</w:t>
            </w:r>
          </w:p>
        </w:tc>
        <w:tc>
          <w:tcPr>
            <w:tcW w:w="12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pStyle w:val="20"/>
            </w:pPr>
            <w:r>
              <w:rPr>
                <w:rFonts w:hint="eastAsia" w:cs="Times New Roman"/>
              </w:rPr>
              <w:t>/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95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0"/>
            </w:pPr>
            <w:r>
              <w:rPr>
                <w:rFonts w:hint="eastAsia" w:ascii="仿宋" w:hAnsi="仿宋"/>
              </w:rPr>
              <w:t>红角洲水厂</w:t>
            </w:r>
          </w:p>
        </w:tc>
        <w:tc>
          <w:tcPr>
            <w:tcW w:w="7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</w:pPr>
            <w:r>
              <w:rPr>
                <w:rFonts w:hint="eastAsia" w:cs="Times New Roman"/>
              </w:rPr>
              <w:t>3.4</w:t>
            </w:r>
          </w:p>
        </w:tc>
        <w:tc>
          <w:tcPr>
            <w:tcW w:w="7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</w:pPr>
            <w:r>
              <w:rPr>
                <w:rFonts w:hint="eastAsia" w:cs="Times New Roman"/>
              </w:rPr>
              <w:t>3.3</w:t>
            </w:r>
          </w:p>
        </w:tc>
        <w:tc>
          <w:tcPr>
            <w:tcW w:w="5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</w:pPr>
            <w:r>
              <w:rPr>
                <w:rFonts w:cs="Times New Roman"/>
              </w:rPr>
              <w:t>Ⅲ</w:t>
            </w:r>
          </w:p>
        </w:tc>
        <w:tc>
          <w:tcPr>
            <w:tcW w:w="6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</w:pPr>
            <w:r>
              <w:t>Ⅱ</w:t>
            </w:r>
          </w:p>
        </w:tc>
        <w:tc>
          <w:tcPr>
            <w:tcW w:w="12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pStyle w:val="20"/>
            </w:pPr>
            <w:r>
              <w:rPr>
                <w:rFonts w:hint="eastAsia" w:cs="Times New Roman"/>
              </w:rPr>
              <w:t>/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95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0"/>
            </w:pPr>
            <w:r>
              <w:rPr>
                <w:rFonts w:hint="eastAsia" w:ascii="仿宋" w:hAnsi="仿宋"/>
              </w:rPr>
              <w:t>城北水厂</w:t>
            </w:r>
          </w:p>
        </w:tc>
        <w:tc>
          <w:tcPr>
            <w:tcW w:w="7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</w:pPr>
            <w:r>
              <w:rPr>
                <w:rFonts w:hint="eastAsia" w:cs="Times New Roman"/>
              </w:rPr>
              <w:t>3.6</w:t>
            </w:r>
          </w:p>
        </w:tc>
        <w:tc>
          <w:tcPr>
            <w:tcW w:w="7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</w:pPr>
            <w:r>
              <w:rPr>
                <w:rFonts w:hint="eastAsia" w:cs="Times New Roman"/>
              </w:rPr>
              <w:t>3.5</w:t>
            </w:r>
          </w:p>
        </w:tc>
        <w:tc>
          <w:tcPr>
            <w:tcW w:w="55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</w:pPr>
            <w:r>
              <w:rPr>
                <w:rFonts w:cs="Times New Roman"/>
              </w:rPr>
              <w:t>Ⅲ</w:t>
            </w:r>
          </w:p>
        </w:tc>
        <w:tc>
          <w:tcPr>
            <w:tcW w:w="6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0"/>
            </w:pPr>
            <w:r>
              <w:t>Ⅱ</w:t>
            </w:r>
          </w:p>
        </w:tc>
        <w:tc>
          <w:tcPr>
            <w:tcW w:w="12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pStyle w:val="20"/>
            </w:pPr>
            <w:r>
              <w:rPr>
                <w:rFonts w:hint="eastAsia" w:cs="Times New Roman"/>
              </w:rPr>
              <w:t>/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95" w:type="pct"/>
            <w:tcBorders>
              <w:top w:val="single" w:color="auto" w:sz="6" w:space="0"/>
              <w:left w:val="nil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pStyle w:val="20"/>
            </w:pPr>
            <w:r>
              <w:rPr>
                <w:rFonts w:hint="eastAsia" w:ascii="仿宋" w:hAnsi="仿宋"/>
              </w:rPr>
              <w:t>昌南应急水源</w:t>
            </w:r>
          </w:p>
        </w:tc>
        <w:tc>
          <w:tcPr>
            <w:tcW w:w="744" w:type="pc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pStyle w:val="20"/>
            </w:pPr>
            <w:r>
              <w:rPr>
                <w:rFonts w:hint="eastAsia" w:cs="Times New Roman"/>
              </w:rPr>
              <w:t>3.5</w:t>
            </w:r>
          </w:p>
        </w:tc>
        <w:tc>
          <w:tcPr>
            <w:tcW w:w="744" w:type="pc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pStyle w:val="20"/>
            </w:pPr>
            <w:r>
              <w:rPr>
                <w:rFonts w:hint="eastAsia" w:cs="Times New Roman"/>
              </w:rPr>
              <w:t>3.5</w:t>
            </w:r>
          </w:p>
        </w:tc>
        <w:tc>
          <w:tcPr>
            <w:tcW w:w="557" w:type="pc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pStyle w:val="20"/>
            </w:pPr>
            <w:r>
              <w:rPr>
                <w:rFonts w:cs="Times New Roman"/>
              </w:rPr>
              <w:t>Ⅲ</w:t>
            </w:r>
          </w:p>
        </w:tc>
        <w:tc>
          <w:tcPr>
            <w:tcW w:w="652" w:type="pc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pStyle w:val="20"/>
            </w:pPr>
            <w:r>
              <w:t>Ⅱ</w:t>
            </w:r>
          </w:p>
        </w:tc>
        <w:tc>
          <w:tcPr>
            <w:tcW w:w="1208" w:type="pc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nil"/>
            </w:tcBorders>
          </w:tcPr>
          <w:p>
            <w:pPr>
              <w:pStyle w:val="20"/>
            </w:pPr>
            <w:r>
              <w:rPr>
                <w:rFonts w:hint="eastAsia" w:cs="Times New Roman"/>
              </w:rPr>
              <w:t>/</w:t>
            </w:r>
          </w:p>
        </w:tc>
      </w:tr>
    </w:tbl>
    <w:p>
      <w:pPr>
        <w:spacing w:before="0" w:after="0" w:line="400" w:lineRule="exact"/>
        <w:ind w:firstLine="0" w:firstLineChars="0"/>
        <w:jc w:val="both"/>
        <w:rPr>
          <w:rFonts w:hint="eastAsia" w:ascii="仿宋_GB2312" w:hAnsi="仿宋_GB2312" w:eastAsia="仿宋_GB2312" w:cs="仿宋_GB2312"/>
          <w:b/>
          <w:bCs/>
          <w:color w:val="003300"/>
          <w:sz w:val="30"/>
          <w:szCs w:val="30"/>
        </w:rPr>
      </w:pPr>
    </w:p>
    <w:p>
      <w:pPr>
        <w:spacing w:before="0" w:after="0" w:line="400" w:lineRule="exact"/>
        <w:ind w:firstLine="0" w:firstLineChars="0"/>
        <w:jc w:val="both"/>
        <w:rPr>
          <w:rFonts w:hint="eastAsia" w:ascii="仿宋_GB2312" w:hAnsi="仿宋_GB2312" w:eastAsia="仿宋_GB2312" w:cs="仿宋_GB2312"/>
          <w:b/>
          <w:bCs/>
          <w:color w:val="003300"/>
          <w:sz w:val="30"/>
          <w:szCs w:val="30"/>
        </w:rPr>
      </w:pPr>
    </w:p>
    <w:p>
      <w:pPr>
        <w:spacing w:before="0" w:after="0" w:line="400" w:lineRule="exact"/>
        <w:ind w:firstLine="0" w:firstLineChars="0"/>
        <w:jc w:val="both"/>
        <w:rPr>
          <w:rFonts w:hint="eastAsia" w:ascii="仿宋_GB2312" w:hAnsi="仿宋_GB2312" w:eastAsia="仿宋_GB2312" w:cs="仿宋_GB2312"/>
          <w:b/>
          <w:bCs/>
          <w:color w:val="003300"/>
          <w:sz w:val="30"/>
          <w:szCs w:val="30"/>
        </w:rPr>
      </w:pPr>
    </w:p>
    <w:p>
      <w:pPr>
        <w:spacing w:before="0" w:after="0" w:line="400" w:lineRule="exact"/>
        <w:ind w:firstLine="0" w:firstLineChars="0"/>
        <w:jc w:val="both"/>
        <w:rPr>
          <w:rFonts w:hint="eastAsia" w:ascii="仿宋_GB2312" w:hAnsi="仿宋_GB2312" w:eastAsia="仿宋_GB2312" w:cs="仿宋_GB2312"/>
          <w:b/>
          <w:bCs/>
          <w:color w:val="003300"/>
          <w:sz w:val="30"/>
          <w:szCs w:val="30"/>
        </w:rPr>
      </w:pPr>
    </w:p>
    <w:p>
      <w:pPr>
        <w:spacing w:before="0" w:after="0" w:line="400" w:lineRule="exact"/>
        <w:ind w:firstLine="0" w:firstLineChars="0"/>
        <w:jc w:val="both"/>
        <w:rPr>
          <w:rFonts w:hint="eastAsia" w:ascii="仿宋_GB2312" w:hAnsi="仿宋_GB2312" w:eastAsia="仿宋_GB2312" w:cs="仿宋_GB2312"/>
          <w:b/>
          <w:bCs/>
          <w:color w:val="003300"/>
          <w:sz w:val="30"/>
          <w:szCs w:val="30"/>
        </w:rPr>
      </w:pPr>
    </w:p>
    <w:p>
      <w:pPr>
        <w:spacing w:before="0" w:after="0" w:line="400" w:lineRule="exact"/>
        <w:ind w:firstLine="602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3300"/>
          <w:sz w:val="30"/>
          <w:szCs w:val="30"/>
        </w:rPr>
        <w:t>江河湖泊水质</w:t>
      </w:r>
    </w:p>
    <w:p>
      <w:pPr>
        <w:ind w:firstLine="482" w:firstLineChars="200"/>
        <w:rPr>
          <w:rFonts w:hint="eastAsia" w:ascii="仿宋_GB2312" w:hAnsi="仿宋_GB2312" w:eastAsia="仿宋_GB2312" w:cs="仿宋_GB2312"/>
          <w:b/>
          <w:sz w:val="24"/>
          <w:szCs w:val="24"/>
        </w:rPr>
      </w:pPr>
    </w:p>
    <w:p>
      <w:pPr>
        <w:ind w:firstLine="482" w:firstLineChars="200"/>
        <w:rPr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总体情况：</w:t>
      </w:r>
      <w:r>
        <w:rPr>
          <w:rFonts w:hint="eastAsia" w:ascii="仿宋_GB2312" w:hAnsi="仿宋_GB2312" w:eastAsia="仿宋_GB2312" w:cs="仿宋_GB2312"/>
          <w:sz w:val="24"/>
          <w:szCs w:val="24"/>
        </w:rPr>
        <w:t>2022年，南昌市地表水水质总体为良好，39个监测断面（国、省控考核断面33个，不参与考核6个，为军山湖6个测点）Ⅰ～Ⅲ类水质比例为82.0%，其中Ⅱ类占56.4%，Ⅲ类占25.6%，Ⅳ类占15.4%，Ⅴ类占2.6%（青岚湖断面）。详见图2-1。</w:t>
      </w:r>
    </w:p>
    <w:p>
      <w:pPr>
        <w:spacing w:before="240" w:after="120" w:line="400" w:lineRule="exact"/>
        <w:ind w:firstLine="602" w:firstLineChars="25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003300"/>
          <w:sz w:val="24"/>
          <w:szCs w:val="24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421005</wp:posOffset>
            </wp:positionV>
            <wp:extent cx="4351655" cy="2456180"/>
            <wp:effectExtent l="0" t="0" r="10795" b="1270"/>
            <wp:wrapNone/>
            <wp:docPr id="24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1655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afterLines="100" w:line="400" w:lineRule="exact"/>
        <w:ind w:firstLine="723" w:firstLineChars="300"/>
        <w:rPr>
          <w:rFonts w:hint="eastAsia" w:ascii="仿宋_GB2312" w:hAnsi="仿宋_GB2312" w:eastAsia="仿宋_GB2312" w:cs="仿宋_GB2312"/>
          <w:b/>
          <w:sz w:val="24"/>
        </w:rPr>
      </w:pPr>
    </w:p>
    <w:p>
      <w:pPr>
        <w:pStyle w:val="2"/>
        <w:numPr>
          <w:ilvl w:val="2"/>
          <w:numId w:val="0"/>
        </w:numPr>
        <w:ind w:left="9660" w:leftChars="0"/>
        <w:rPr>
          <w:rFonts w:hint="eastAsia"/>
        </w:rPr>
      </w:pPr>
    </w:p>
    <w:p>
      <w:pPr>
        <w:spacing w:afterLines="100" w:line="400" w:lineRule="exact"/>
        <w:ind w:firstLine="723" w:firstLineChars="300"/>
        <w:rPr>
          <w:rFonts w:hint="eastAsia" w:ascii="仿宋_GB2312" w:hAnsi="仿宋_GB2312" w:eastAsia="仿宋_GB2312" w:cs="仿宋_GB2312"/>
          <w:b/>
          <w:sz w:val="24"/>
        </w:rPr>
      </w:pPr>
    </w:p>
    <w:p>
      <w:pPr>
        <w:spacing w:afterLines="100" w:line="400" w:lineRule="exact"/>
        <w:ind w:firstLine="723" w:firstLineChars="300"/>
        <w:rPr>
          <w:rFonts w:hint="eastAsia" w:ascii="仿宋_GB2312" w:hAnsi="仿宋_GB2312" w:eastAsia="仿宋_GB2312" w:cs="仿宋_GB2312"/>
          <w:b/>
          <w:sz w:val="24"/>
        </w:rPr>
      </w:pPr>
    </w:p>
    <w:p>
      <w:pPr>
        <w:spacing w:afterLines="100" w:line="400" w:lineRule="exact"/>
        <w:ind w:firstLine="723" w:firstLineChars="300"/>
        <w:rPr>
          <w:rFonts w:hint="eastAsia" w:ascii="仿宋_GB2312" w:hAnsi="仿宋_GB2312" w:eastAsia="仿宋_GB2312" w:cs="仿宋_GB2312"/>
          <w:b/>
          <w:sz w:val="24"/>
        </w:rPr>
      </w:pPr>
    </w:p>
    <w:p>
      <w:pPr>
        <w:spacing w:afterLines="100" w:line="400" w:lineRule="exact"/>
        <w:ind w:firstLine="723" w:firstLineChars="300"/>
        <w:rPr>
          <w:rFonts w:hint="eastAsia" w:ascii="仿宋_GB2312" w:hAnsi="仿宋_GB2312" w:eastAsia="仿宋_GB2312" w:cs="仿宋_GB2312"/>
          <w:b/>
          <w:sz w:val="24"/>
        </w:rPr>
      </w:pPr>
    </w:p>
    <w:p>
      <w:pPr>
        <w:ind w:firstLine="482" w:firstLineChars="200"/>
        <w:rPr>
          <w:rFonts w:hint="eastAsia" w:ascii="仿宋_GB2312" w:hAnsi="仿宋_GB2312" w:eastAsia="仿宋_GB2312" w:cs="仿宋_GB2312"/>
          <w:b/>
          <w:sz w:val="24"/>
        </w:rPr>
      </w:pPr>
    </w:p>
    <w:p>
      <w:pPr>
        <w:ind w:firstLine="482" w:firstLineChars="200"/>
        <w:rPr>
          <w:rFonts w:hint="eastAsia" w:ascii="仿宋_GB2312" w:hAnsi="仿宋_GB2312" w:eastAsia="仿宋_GB2312" w:cs="仿宋_GB2312"/>
          <w:b/>
          <w:sz w:val="24"/>
        </w:rPr>
      </w:pPr>
    </w:p>
    <w:p>
      <w:pPr>
        <w:ind w:firstLine="482" w:firstLineChars="200"/>
        <w:rPr>
          <w:rFonts w:hint="eastAsia" w:ascii="仿宋_GB2312" w:hAnsi="仿宋_GB2312" w:eastAsia="仿宋_GB2312" w:cs="仿宋_GB2312"/>
          <w:b/>
          <w:sz w:val="24"/>
        </w:rPr>
      </w:pPr>
    </w:p>
    <w:p>
      <w:pPr>
        <w:ind w:firstLine="482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赣江南昌段</w:t>
      </w:r>
      <w:r>
        <w:rPr>
          <w:rFonts w:hint="eastAsia" w:ascii="仿宋_GB2312" w:hAnsi="仿宋_GB2312" w:eastAsia="仿宋_GB2312" w:cs="仿宋_GB2312"/>
          <w:sz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2022年赣江南昌段整体水质状况优，断面优良率均为100%，与上年相比优良率保持不变，其中Ⅱ类断面比例上升18.8个百分点，Ⅲ类断面比例下降18.8个百分点，无Ⅲ类及以上类别断面（详见图2-3）。16个断面中有3个断面水质类别由良好上升为优（青山湖电排站、高新北沥村、吉里），其它断面水质类别保持不变。</w:t>
      </w:r>
    </w:p>
    <w:p>
      <w:pPr>
        <w:spacing w:afterLines="100" w:line="400" w:lineRule="exact"/>
        <w:ind w:firstLine="720" w:firstLineChars="3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sz w:val="24"/>
          <w:szCs w:val="24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column">
              <wp:posOffset>458470</wp:posOffset>
            </wp:positionH>
            <wp:positionV relativeFrom="paragraph">
              <wp:posOffset>85725</wp:posOffset>
            </wp:positionV>
            <wp:extent cx="5067300" cy="2228850"/>
            <wp:effectExtent l="0" t="0" r="0" b="0"/>
            <wp:wrapNone/>
            <wp:docPr id="38" name="图片 38" descr="C:\Users\Lenovo\AppData\Local\Temp\ksohtml17320\wps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C:\Users\Lenovo\AppData\Local\Temp\ksohtml17320\wps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before="240" w:after="120" w:line="400" w:lineRule="exact"/>
        <w:ind w:firstLine="588" w:firstLineChars="245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spacing w:before="240" w:after="120" w:line="400" w:lineRule="exact"/>
        <w:ind w:firstLine="588" w:firstLineChars="245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spacing w:before="240" w:after="120" w:line="400" w:lineRule="exact"/>
        <w:ind w:firstLine="588" w:firstLineChars="245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spacing w:before="240" w:after="120" w:line="400" w:lineRule="exact"/>
        <w:ind w:firstLine="588" w:firstLineChars="245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spacing w:before="240" w:after="120" w:line="400" w:lineRule="exact"/>
        <w:ind w:firstLine="588" w:firstLineChars="245"/>
        <w:rPr>
          <w:rFonts w:hint="eastAsia" w:ascii="仿宋_GB2312" w:hAnsi="仿宋_GB2312" w:eastAsia="仿宋_GB2312" w:cs="仿宋_GB2312"/>
          <w:color w:val="000000"/>
          <w:sz w:val="24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color w:val="003300"/>
          <w:sz w:val="24"/>
          <w:szCs w:val="24"/>
        </w:rPr>
      </w:pP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2022年赣江南昌段整体河流水质指数为3.38（越低表示水质越好），比上年（3.82）下降11.5%。与上年相比，所有断面的水质指数均有所下降，下降幅度在0.93%～24.0%之间，见图2-4.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color w:val="003300"/>
          <w:sz w:val="30"/>
          <w:szCs w:val="18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</w:t>
      </w: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5524500" cy="2409825"/>
            <wp:effectExtent l="0" t="0" r="0" b="9525"/>
            <wp:docPr id="39" name="图片 39" descr="C:\Users\Lenovo\AppData\Local\Temp\ksohtml17320\wps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C:\Users\Lenovo\AppData\Local\Temp\ksohtml17320\wps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422" w:firstLineChars="200"/>
        <w:rPr>
          <w:sz w:val="24"/>
          <w:szCs w:val="24"/>
        </w:rPr>
      </w:pPr>
      <w:r>
        <w:rPr>
          <w:rFonts w:hint="eastAsia"/>
          <w:b/>
        </w:rPr>
        <w:t>抚河南昌段：</w:t>
      </w:r>
      <w:r>
        <w:rPr>
          <w:rFonts w:hint="eastAsia" w:ascii="仿宋_GB2312" w:hAnsi="仿宋_GB2312" w:eastAsia="仿宋_GB2312" w:cs="仿宋_GB2312"/>
          <w:sz w:val="24"/>
          <w:szCs w:val="24"/>
        </w:rPr>
        <w:t>2022年，抚河南昌段整体水质优，断面达标率为100%。3个断面李渡、塔城、新联水质类别均为Ⅱ类，水质状况优。水质指数为3.84，比上年（3.64）上升5.5%。见图2-5.</w:t>
      </w:r>
    </w:p>
    <w:p>
      <w:pPr>
        <w:jc w:val="both"/>
        <w:rPr>
          <w:rFonts w:hint="eastAsia" w:ascii="仿宋" w:hAnsi="仿宋"/>
          <w:sz w:val="24"/>
          <w:szCs w:val="24"/>
          <w:lang w:val="en-US" w:eastAsia="zh-CN"/>
        </w:rPr>
      </w:pPr>
      <w:r>
        <w:rPr>
          <w:rFonts w:hint="eastAsia" w:ascii="仿宋" w:hAnsi="仿宋"/>
          <w:sz w:val="24"/>
          <w:szCs w:val="24"/>
          <w:lang w:val="en-US" w:eastAsia="zh-CN"/>
        </w:rPr>
        <w:t xml:space="preserve">    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color w:val="003300"/>
          <w:sz w:val="30"/>
          <w:szCs w:val="18"/>
        </w:rPr>
      </w:pPr>
      <w:r>
        <w:rPr>
          <w:rFonts w:hint="eastAsia" w:ascii="仿宋" w:hAnsi="仿宋"/>
          <w:lang w:val="en-US" w:eastAsia="zh-CN"/>
        </w:rPr>
        <w:t xml:space="preserve">       </w:t>
      </w:r>
      <w:r>
        <w:rPr>
          <w:rFonts w:hint="eastAsia" w:ascii="仿宋" w:hAnsi="仿宋"/>
        </w:rPr>
        <w:drawing>
          <wp:inline distT="0" distB="0" distL="0" distR="0">
            <wp:extent cx="5010150" cy="1390650"/>
            <wp:effectExtent l="0" t="0" r="0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color w:val="003300"/>
          <w:sz w:val="30"/>
          <w:szCs w:val="18"/>
        </w:rPr>
      </w:pPr>
    </w:p>
    <w:p>
      <w:pPr>
        <w:spacing w:line="400" w:lineRule="exact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18"/>
        </w:rPr>
      </w:pPr>
      <w:r>
        <w:rPr>
          <w:rFonts w:hint="eastAsia" w:ascii="仿宋_GB2312" w:hAnsi="仿宋_GB2312" w:eastAsia="仿宋_GB2312" w:cs="仿宋_GB2312"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>
                <wp:simplePos x="0" y="0"/>
                <wp:positionH relativeFrom="column">
                  <wp:posOffset>2551430</wp:posOffset>
                </wp:positionH>
                <wp:positionV relativeFrom="paragraph">
                  <wp:posOffset>187960</wp:posOffset>
                </wp:positionV>
                <wp:extent cx="1915160" cy="428625"/>
                <wp:effectExtent l="0" t="0" r="8890" b="9525"/>
                <wp:wrapTopAndBottom/>
                <wp:docPr id="1051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16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color w:val="000000"/>
                                <w:sz w:val="44"/>
                              </w:rPr>
                              <w:t>三、声环境</w:t>
                            </w:r>
                          </w:p>
                        </w:txbxContent>
                      </wps:txbx>
                      <wps:bodyPr lIns="91440" tIns="36000" rIns="91440" bIns="36000" upright="1"/>
                    </wps:wsp>
                  </a:graphicData>
                </a:graphic>
              </wp:anchor>
            </w:drawing>
          </mc:Choice>
          <mc:Fallback>
            <w:pict>
              <v:rect id="矩形 28" o:spid="_x0000_s1026" o:spt="1" style="position:absolute;left:0pt;margin-left:200.9pt;margin-top:14.8pt;height:33.75pt;width:150.8pt;mso-wrap-distance-bottom:0pt;mso-wrap-distance-top:0pt;z-index:251665408;mso-width-relative:page;mso-height-relative:page;" fillcolor="#FFFFFF" filled="t" stroked="f" coordsize="21600,21600" o:allowoverlap="f" o:gfxdata="UEsDBAoAAAAAAIdO4kAAAAAAAAAAAAAAAAAEAAAAZHJzL1BLAwQUAAAACACHTuJA5jnRJdYAAAAJ&#10;AQAADwAAAGRycy9kb3ducmV2LnhtbE2PO0/DQBCEeyT+w2kj0ZE7ByvGjs8piKho8qChu/gW28o9&#10;LN/m9e9ZKihHM5r5pl7fvBMXnNIQg4ZsrkBgaKMdQqfh8/D+/AoikQnWuBhQwx0TrJvHh9pUNl7D&#10;Di976gSXhFQZDT3RWEmZ2h69SfM4YmDvO07eEMupk3YyVy73Ti6UWkpvhsALvRnxrcf2tD97HvH5&#10;hqi0+FFsd+7rJLeb/N5p/TTL1AoE4Y3+wvCLz+jQMNMxnoNNwmnIVcbopGFRLkFwoFAvOYijhrLI&#10;QDa1/P+g+QFQSwMEFAAAAAgAh07iQJ8E6JbUAQAAsAMAAA4AAABkcnMvZTJvRG9jLnhtbK1TzY7T&#10;MBC+I/EOlu80SWm73ajpHqiKkBCstPAAruMklvynsdukT4PEjYfgcRCvwdgJpbt72QM5JDOe8Tfz&#10;fTPZ3A1akZMAL62paDHLKRGG21qatqJfv+zfrCnxgZmaKWtERc/C07vt61eb3pVibjuragEEQYwv&#10;e1fRLgRXZpnnndDMz6wTBoONBc0CutBmNbAe0bXK5nm+ynoLtQPLhfd4uhuDdEKElwDappFc7Cw/&#10;amHCiApCsYCUfCedp9vUbdMIHj43jReBqIoi05DeWATtQ3xn2w0rW2Cuk3xqgb2khSecNJMGi16g&#10;diwwcgT5DEpLDtbbJsy41dlIJCmCLIr8iTYPHXMicUGpvbuI7v8fLP90ugcia9yEfFlQYpjGmf/+&#10;9uPXz+9kvo769M6XmPbg7mHyPJqR7NCAjl+kQYak6fmiqRgC4XhY3BbLYoVyc4wt1subm2UEzf7d&#10;duDDe2E1iUZFAWeWpGSnjz6MqX9TYjFvlaz3UqnkQHt4p4CcGM53n54J/VGaMjHZ2HhtRBxPRNqQ&#10;qUzkOTKLVhgOw0T3YOsziqQ+GBT+tlgs4iIl5+0qz9GB68jhOnJ0INsOWRWprQiMg0z0p6WLm3Lt&#10;o339o23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OY50SXWAAAACQEAAA8AAAAAAAAAAQAgAAAA&#10;IgAAAGRycy9kb3ducmV2LnhtbFBLAQIUABQAAAAIAIdO4kCfBOiW1AEAALADAAAOAAAAAAAAAAEA&#10;IAAAACUBAABkcnMvZTJvRG9jLnhtbFBLBQYAAAAABgAGAFkBAABrBQAAAAA=&#10;">
                <v:fill on="t" focussize="0,0"/>
                <v:stroke on="f"/>
                <v:imagedata o:title=""/>
                <o:lock v:ext="edit" aspectratio="f"/>
                <v:textbox inset="2.54mm,1mm,2.54mm,1mm">
                  <w:txbxContent>
                    <w:p>
                      <w:pPr>
                        <w:jc w:val="both"/>
                        <w:rPr>
                          <w:color w:val="000000"/>
                          <w:sz w:val="44"/>
                        </w:rPr>
                      </w:pPr>
                      <w:r>
                        <w:rPr>
                          <w:rFonts w:hint="eastAsia" w:ascii="黑体" w:hAnsi="宋体" w:eastAsia="黑体"/>
                          <w:color w:val="000000"/>
                          <w:sz w:val="44"/>
                        </w:rPr>
                        <w:t>三、声环境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spacing w:line="400" w:lineRule="exact"/>
        <w:ind w:firstLine="602" w:firstLineChars="200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18"/>
        </w:rPr>
      </w:pPr>
    </w:p>
    <w:p>
      <w:pPr>
        <w:spacing w:line="400" w:lineRule="exact"/>
        <w:ind w:firstLine="602" w:firstLineChars="200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1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18"/>
        </w:rPr>
        <w:t>区域环境噪声</w:t>
      </w:r>
    </w:p>
    <w:p>
      <w:pPr>
        <w:ind w:firstLine="480" w:firstLineChars="200"/>
        <w:rPr>
          <w:rFonts w:hint="eastAsia" w:ascii="仿宋_GB2312" w:hAnsi="仿宋_GB2312" w:eastAsia="仿宋_GB2312" w:cs="仿宋_GB2312"/>
          <w:kern w:val="24"/>
          <w:sz w:val="24"/>
          <w:szCs w:val="24"/>
        </w:rPr>
      </w:pPr>
    </w:p>
    <w:p>
      <w:pPr>
        <w:ind w:firstLine="480" w:firstLineChars="200"/>
        <w:rPr>
          <w:rFonts w:hint="eastAsia" w:ascii="仿宋_GB2312" w:hAnsi="仿宋_GB2312" w:eastAsia="仿宋_GB2312" w:cs="仿宋_GB2312"/>
          <w:kern w:val="24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24"/>
          <w:sz w:val="24"/>
          <w:szCs w:val="24"/>
        </w:rPr>
        <w:t>2022年南昌市城区区域环境噪声昼间等效声级为54.5分贝，较去年下降0.1分贝,区域环境噪声总体水平等级为二级，评价结果为较好（见表3-1）。全年南昌市城区区域环境噪声达标率为93.4%。</w:t>
      </w:r>
    </w:p>
    <w:p>
      <w:pPr>
        <w:pStyle w:val="21"/>
        <w:keepLines w:val="0"/>
        <w:autoSpaceDE w:val="0"/>
        <w:spacing w:before="0" w:after="0" w:line="440" w:lineRule="exact"/>
        <w:ind w:leftChars="0" w:firstLine="0"/>
        <w:rPr>
          <w:rFonts w:hint="eastAsia" w:ascii="仿宋_GB2312" w:hAnsi="仿宋_GB2312" w:eastAsia="仿宋_GB2312" w:cs="仿宋_GB2312"/>
          <w:snapToGrid w:val="0"/>
          <w:color w:val="FF0000"/>
          <w:kern w:val="21"/>
          <w:sz w:val="24"/>
          <w:lang w:val="en-US" w:eastAsia="zh-CN"/>
        </w:rPr>
      </w:pPr>
    </w:p>
    <w:p>
      <w:pPr>
        <w:pStyle w:val="21"/>
        <w:keepLines w:val="0"/>
        <w:autoSpaceDE w:val="0"/>
        <w:spacing w:before="0" w:after="0" w:line="440" w:lineRule="exact"/>
        <w:ind w:leftChars="0" w:firstLine="0"/>
        <w:rPr>
          <w:rFonts w:ascii="黑体" w:hAnsi="黑体"/>
          <w:kern w:val="21"/>
          <w:sz w:val="21"/>
          <w:szCs w:val="21"/>
        </w:rPr>
      </w:pPr>
      <w:r>
        <w:rPr>
          <w:rFonts w:hint="eastAsia" w:ascii="仿宋_GB2312" w:hAnsi="仿宋_GB2312" w:eastAsia="仿宋_GB2312" w:cs="仿宋_GB2312"/>
          <w:snapToGrid w:val="0"/>
          <w:color w:val="FF0000"/>
          <w:kern w:val="21"/>
          <w:sz w:val="24"/>
          <w:lang w:val="en-US" w:eastAsia="zh-CN"/>
        </w:rPr>
        <w:t xml:space="preserve">    </w:t>
      </w:r>
      <w:r>
        <w:rPr>
          <w:rFonts w:hint="eastAsia" w:ascii="黑体" w:hAnsi="黑体"/>
          <w:kern w:val="21"/>
          <w:sz w:val="21"/>
          <w:szCs w:val="21"/>
        </w:rPr>
        <w:t>表</w:t>
      </w:r>
      <w:r>
        <w:rPr>
          <w:rFonts w:hint="eastAsia" w:ascii="Times New Roman" w:hAnsi="Times New Roman"/>
          <w:kern w:val="21"/>
          <w:sz w:val="21"/>
          <w:szCs w:val="21"/>
        </w:rPr>
        <w:t>3-1</w:t>
      </w:r>
      <w:r>
        <w:rPr>
          <w:rFonts w:hint="eastAsia" w:ascii="黑体" w:hAnsi="黑体"/>
          <w:kern w:val="21"/>
          <w:sz w:val="21"/>
          <w:szCs w:val="21"/>
        </w:rPr>
        <w:t xml:space="preserve">         南昌市城区区域环境噪声监测结果统计表        单位：</w:t>
      </w:r>
      <w:r>
        <w:rPr>
          <w:rFonts w:ascii="Times New Roman" w:hAnsi="Times New Roman"/>
          <w:kern w:val="21"/>
          <w:sz w:val="21"/>
          <w:szCs w:val="21"/>
        </w:rPr>
        <w:t>dB(A)</w:t>
      </w:r>
    </w:p>
    <w:tbl>
      <w:tblPr>
        <w:tblStyle w:val="14"/>
        <w:tblW w:w="8299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2324"/>
        <w:gridCol w:w="2324"/>
        <w:gridCol w:w="198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D6E3BC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ascii="仿宋" w:hAnsi="仿宋"/>
                <w:b/>
                <w:szCs w:val="21"/>
              </w:rPr>
              <w:t>年度</w:t>
            </w:r>
          </w:p>
        </w:tc>
        <w:tc>
          <w:tcPr>
            <w:tcW w:w="23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D6E3BC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ascii="仿宋" w:hAnsi="仿宋"/>
                <w:b/>
                <w:szCs w:val="21"/>
              </w:rPr>
              <w:t>网格大小（</w:t>
            </w:r>
            <w:r>
              <w:rPr>
                <w:b/>
                <w:szCs w:val="21"/>
              </w:rPr>
              <w:t>m*m</w:t>
            </w:r>
            <w:r>
              <w:rPr>
                <w:rFonts w:ascii="仿宋" w:hAnsi="仿宋"/>
                <w:b/>
                <w:szCs w:val="21"/>
              </w:rPr>
              <w:t>）</w:t>
            </w:r>
          </w:p>
        </w:tc>
        <w:tc>
          <w:tcPr>
            <w:tcW w:w="23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D6E3BC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ascii="仿宋" w:hAnsi="仿宋"/>
                <w:b/>
                <w:szCs w:val="21"/>
              </w:rPr>
              <w:t>测点总数（个）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D6E3BC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b/>
                <w:szCs w:val="21"/>
              </w:rPr>
              <w:t>Leq</w:t>
            </w:r>
            <w:r>
              <w:rPr>
                <w:rFonts w:ascii="仿宋" w:hAnsi="仿宋"/>
                <w:b/>
                <w:szCs w:val="21"/>
              </w:rPr>
              <w:t>均值（</w:t>
            </w:r>
            <w:r>
              <w:rPr>
                <w:b/>
                <w:szCs w:val="21"/>
              </w:rPr>
              <w:t>dB(A)</w:t>
            </w:r>
            <w:r>
              <w:rPr>
                <w:rFonts w:ascii="仿宋" w:hAnsi="仿宋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Cs/>
                <w:szCs w:val="21"/>
              </w:rPr>
            </w:pPr>
            <w:r>
              <w:rPr>
                <w:bCs/>
                <w:szCs w:val="21"/>
              </w:rPr>
              <w:t>2021</w:t>
            </w:r>
            <w:r>
              <w:rPr>
                <w:rFonts w:ascii="仿宋" w:hAnsi="仿宋"/>
                <w:bCs/>
                <w:szCs w:val="21"/>
              </w:rPr>
              <w:t>年</w:t>
            </w:r>
          </w:p>
        </w:tc>
        <w:tc>
          <w:tcPr>
            <w:tcW w:w="232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Cs/>
                <w:szCs w:val="21"/>
              </w:rPr>
            </w:pPr>
            <w:r>
              <w:rPr>
                <w:bCs/>
                <w:szCs w:val="21"/>
              </w:rPr>
              <w:t>1300*1300</w:t>
            </w:r>
          </w:p>
        </w:tc>
        <w:tc>
          <w:tcPr>
            <w:tcW w:w="232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Cs/>
                <w:szCs w:val="21"/>
              </w:rPr>
            </w:pPr>
            <w:r>
              <w:rPr>
                <w:bCs/>
                <w:szCs w:val="21"/>
              </w:rPr>
              <w:t>183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Cs/>
                <w:szCs w:val="21"/>
              </w:rPr>
            </w:pPr>
            <w:r>
              <w:rPr>
                <w:bCs/>
                <w:szCs w:val="21"/>
              </w:rPr>
              <w:t>54.6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Cs/>
                <w:szCs w:val="21"/>
              </w:rPr>
            </w:pPr>
            <w:r>
              <w:rPr>
                <w:bCs/>
                <w:szCs w:val="21"/>
              </w:rPr>
              <w:t>2022</w:t>
            </w:r>
            <w:r>
              <w:rPr>
                <w:rFonts w:ascii="仿宋" w:hAnsi="仿宋"/>
                <w:bCs/>
                <w:szCs w:val="21"/>
              </w:rPr>
              <w:t>年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Cs/>
                <w:szCs w:val="21"/>
              </w:rPr>
            </w:pPr>
            <w:r>
              <w:rPr>
                <w:bCs/>
                <w:szCs w:val="21"/>
              </w:rPr>
              <w:t>1300*1300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Cs/>
                <w:szCs w:val="21"/>
              </w:rPr>
            </w:pPr>
            <w:r>
              <w:rPr>
                <w:bCs/>
                <w:szCs w:val="21"/>
              </w:rPr>
              <w:t>183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Cs/>
                <w:szCs w:val="21"/>
              </w:rPr>
            </w:pPr>
            <w:r>
              <w:rPr>
                <w:bCs/>
                <w:szCs w:val="21"/>
              </w:rPr>
              <w:t>54.5</w:t>
            </w:r>
          </w:p>
        </w:tc>
      </w:tr>
    </w:tbl>
    <w:p>
      <w:pPr>
        <w:spacing w:before="240" w:after="120" w:line="400" w:lineRule="exact"/>
        <w:rPr>
          <w:rFonts w:ascii="仿宋_GB2312" w:hAnsi="仿宋_GB2312" w:eastAsia="仿宋_GB2312" w:cs="仿宋_GB2312"/>
          <w:b/>
          <w:bCs/>
          <w:color w:val="000000"/>
          <w:sz w:val="30"/>
          <w:szCs w:val="18"/>
        </w:rPr>
      </w:pP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21"/>
          <w:sz w:val="24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napToGrid w:val="0"/>
          <w:color w:val="000000" w:themeColor="text1"/>
          <w:kern w:val="2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napToGrid w:val="0"/>
          <w:color w:val="FF0000"/>
          <w:kern w:val="21"/>
          <w:sz w:val="24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2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00" w:lineRule="exact"/>
        <w:ind w:firstLine="602" w:firstLineChars="200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18"/>
        </w:rPr>
      </w:pPr>
    </w:p>
    <w:p>
      <w:pPr>
        <w:spacing w:line="400" w:lineRule="exact"/>
        <w:ind w:firstLine="602" w:firstLineChars="200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1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18"/>
        </w:rPr>
        <w:t>道路交通噪声</w:t>
      </w:r>
    </w:p>
    <w:p>
      <w:pPr>
        <w:ind w:firstLine="480" w:firstLineChars="200"/>
        <w:rPr>
          <w:rFonts w:hint="eastAsia" w:ascii="仿宋_GB2312" w:hAnsi="仿宋_GB2312" w:eastAsia="仿宋_GB2312" w:cs="仿宋_GB2312"/>
          <w:kern w:val="24"/>
          <w:sz w:val="24"/>
          <w:szCs w:val="24"/>
        </w:rPr>
      </w:pPr>
    </w:p>
    <w:p>
      <w:pPr>
        <w:ind w:firstLine="480" w:firstLineChars="200"/>
        <w:rPr>
          <w:rFonts w:hint="eastAsia" w:ascii="仿宋_GB2312" w:hAnsi="仿宋_GB2312" w:eastAsia="仿宋_GB2312" w:cs="仿宋_GB2312"/>
          <w:snapToGrid w:val="0"/>
          <w:kern w:val="24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24"/>
          <w:sz w:val="24"/>
          <w:szCs w:val="24"/>
        </w:rPr>
        <w:t>2022年南昌市城区道路交通噪声等效声级路段长度加权均值为65.8分贝，与上年相比下降了0.1分贝，道路交通噪声总体水平等级为一级，评价结果为好。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>（见表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24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3-2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>）。</w:t>
      </w:r>
    </w:p>
    <w:p>
      <w:pPr>
        <w:spacing w:line="400" w:lineRule="exact"/>
        <w:ind w:firstLine="619" w:firstLineChars="258"/>
        <w:rPr>
          <w:rFonts w:hint="eastAsia" w:ascii="仿宋_GB2312" w:hAnsi="仿宋_GB2312" w:eastAsia="仿宋_GB2312" w:cs="仿宋_GB2312"/>
          <w:color w:val="000000"/>
          <w:sz w:val="24"/>
          <w:szCs w:val="18"/>
        </w:rPr>
      </w:pPr>
      <w:r>
        <w:rPr>
          <w:rFonts w:hint="eastAsia" w:ascii="仿宋_GB2312" w:hAnsi="仿宋_GB2312" w:eastAsia="仿宋_GB2312" w:cs="仿宋_GB2312"/>
          <w:snapToGrid w:val="0"/>
          <w:color w:val="FF0000"/>
          <w:kern w:val="21"/>
          <w:sz w:val="24"/>
          <w:lang w:val="en-US" w:eastAsia="zh-CN"/>
        </w:rPr>
        <w:t xml:space="preserve">        </w:t>
      </w:r>
    </w:p>
    <w:p>
      <w:pPr>
        <w:pStyle w:val="21"/>
        <w:keepLines w:val="0"/>
        <w:autoSpaceDE w:val="0"/>
        <w:spacing w:before="0" w:after="0" w:line="440" w:lineRule="exact"/>
        <w:ind w:leftChars="0" w:firstLine="0"/>
        <w:rPr>
          <w:rFonts w:ascii="黑体" w:hAnsi="黑体"/>
          <w:kern w:val="21"/>
          <w:sz w:val="21"/>
          <w:szCs w:val="21"/>
        </w:rPr>
      </w:pPr>
      <w:r>
        <w:rPr>
          <w:rFonts w:hint="eastAsia" w:ascii="黑体" w:hAnsi="黑体"/>
          <w:kern w:val="21"/>
          <w:sz w:val="21"/>
          <w:szCs w:val="21"/>
        </w:rPr>
        <w:t>表</w:t>
      </w:r>
      <w:r>
        <w:rPr>
          <w:rFonts w:hint="eastAsia" w:ascii="Times New Roman" w:hAnsi="Times New Roman"/>
          <w:kern w:val="21"/>
          <w:sz w:val="21"/>
          <w:szCs w:val="21"/>
        </w:rPr>
        <w:t>3-2</w:t>
      </w:r>
      <w:r>
        <w:rPr>
          <w:rFonts w:hint="eastAsia" w:ascii="黑体" w:hAnsi="黑体"/>
          <w:kern w:val="21"/>
          <w:sz w:val="21"/>
          <w:szCs w:val="21"/>
        </w:rPr>
        <w:t xml:space="preserve">         南昌市城区道路交通噪声监测结果对照表       单位：</w:t>
      </w:r>
      <w:r>
        <w:rPr>
          <w:rFonts w:ascii="Times New Roman" w:hAnsi="Times New Roman"/>
          <w:kern w:val="21"/>
          <w:sz w:val="21"/>
          <w:szCs w:val="21"/>
        </w:rPr>
        <w:t>dB(A)</w:t>
      </w:r>
    </w:p>
    <w:tbl>
      <w:tblPr>
        <w:tblStyle w:val="14"/>
        <w:tblW w:w="4965" w:type="pct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1295"/>
        <w:gridCol w:w="1295"/>
        <w:gridCol w:w="1436"/>
        <w:gridCol w:w="1506"/>
        <w:gridCol w:w="1564"/>
        <w:gridCol w:w="134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D6E3BC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ascii="仿宋" w:hAnsi="仿宋"/>
                <w:b/>
                <w:szCs w:val="21"/>
              </w:rPr>
              <w:t>年度</w:t>
            </w:r>
          </w:p>
        </w:tc>
        <w:tc>
          <w:tcPr>
            <w:tcW w:w="64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D6E3BC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ascii="仿宋" w:hAnsi="仿宋"/>
                <w:b/>
                <w:szCs w:val="21"/>
              </w:rPr>
              <w:t>监测路段总长</w:t>
            </w:r>
            <w:r>
              <w:rPr>
                <w:b/>
                <w:szCs w:val="21"/>
              </w:rPr>
              <w:t>(m)</w:t>
            </w:r>
          </w:p>
        </w:tc>
        <w:tc>
          <w:tcPr>
            <w:tcW w:w="64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D6E3BC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ascii="仿宋" w:hAnsi="仿宋"/>
                <w:b/>
                <w:szCs w:val="21"/>
              </w:rPr>
              <w:t>路段平均宽度</w:t>
            </w:r>
            <w:r>
              <w:rPr>
                <w:b/>
                <w:szCs w:val="21"/>
              </w:rPr>
              <w:t>(m)</w:t>
            </w:r>
          </w:p>
        </w:tc>
        <w:tc>
          <w:tcPr>
            <w:tcW w:w="71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D6E3BC"/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ascii="仿宋" w:hAnsi="仿宋"/>
                <w:b/>
                <w:szCs w:val="21"/>
              </w:rPr>
              <w:t>车流量</w:t>
            </w:r>
          </w:p>
          <w:p>
            <w:pPr>
              <w:spacing w:line="44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b/>
                <w:szCs w:val="21"/>
              </w:rPr>
              <w:t>(</w:t>
            </w:r>
            <w:r>
              <w:rPr>
                <w:rFonts w:ascii="仿宋" w:hAnsi="仿宋"/>
                <w:b/>
                <w:szCs w:val="21"/>
              </w:rPr>
              <w:t>辆</w:t>
            </w:r>
            <w:r>
              <w:rPr>
                <w:b/>
                <w:szCs w:val="21"/>
              </w:rPr>
              <w:t>/20min)</w:t>
            </w:r>
          </w:p>
        </w:tc>
        <w:tc>
          <w:tcPr>
            <w:tcW w:w="7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D6E3BC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ascii="仿宋" w:hAnsi="仿宋"/>
                <w:b/>
                <w:kern w:val="0"/>
                <w:szCs w:val="21"/>
              </w:rPr>
              <w:t>达标路段长度</w:t>
            </w:r>
            <w:r>
              <w:rPr>
                <w:b/>
                <w:kern w:val="0"/>
                <w:szCs w:val="21"/>
              </w:rPr>
              <w:t>(m)</w:t>
            </w:r>
          </w:p>
        </w:tc>
        <w:tc>
          <w:tcPr>
            <w:tcW w:w="7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D6E3BC"/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ascii="仿宋" w:hAnsi="仿宋"/>
                <w:b/>
                <w:kern w:val="0"/>
                <w:szCs w:val="21"/>
              </w:rPr>
              <w:t>路段达标率</w:t>
            </w:r>
            <w:r>
              <w:rPr>
                <w:b/>
                <w:kern w:val="0"/>
                <w:szCs w:val="21"/>
              </w:rPr>
              <w:t>(%)</w:t>
            </w:r>
          </w:p>
        </w:tc>
        <w:tc>
          <w:tcPr>
            <w:tcW w:w="670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D6E3BC"/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  <w:r>
              <w:rPr>
                <w:b/>
                <w:szCs w:val="21"/>
              </w:rPr>
              <w:t>Leq</w:t>
            </w:r>
          </w:p>
          <w:p>
            <w:pPr>
              <w:spacing w:line="440" w:lineRule="exact"/>
              <w:jc w:val="center"/>
              <w:rPr>
                <w:rFonts w:eastAsia="仿宋"/>
                <w:b/>
                <w:szCs w:val="21"/>
                <w:vertAlign w:val="superscript"/>
              </w:rPr>
            </w:pPr>
            <w:r>
              <w:rPr>
                <w:rFonts w:hint="eastAsia" w:ascii="仿宋" w:hAnsi="仿宋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dB(A)</w:t>
            </w:r>
            <w:r>
              <w:rPr>
                <w:rFonts w:hint="eastAsia" w:ascii="仿宋" w:hAnsi="仿宋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5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Cs/>
                <w:szCs w:val="21"/>
              </w:rPr>
            </w:pPr>
            <w:r>
              <w:rPr>
                <w:bCs/>
                <w:szCs w:val="21"/>
              </w:rPr>
              <w:t>2021</w:t>
            </w:r>
            <w:r>
              <w:rPr>
                <w:rFonts w:ascii="仿宋" w:hAnsi="仿宋"/>
                <w:bCs/>
                <w:szCs w:val="21"/>
              </w:rPr>
              <w:t>年昼间</w:t>
            </w:r>
          </w:p>
        </w:tc>
        <w:tc>
          <w:tcPr>
            <w:tcW w:w="647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Cs/>
                <w:szCs w:val="21"/>
              </w:rPr>
            </w:pPr>
            <w:r>
              <w:rPr>
                <w:bCs/>
                <w:spacing w:val="-12"/>
                <w:szCs w:val="21"/>
              </w:rPr>
              <w:t>463934</w:t>
            </w:r>
          </w:p>
        </w:tc>
        <w:tc>
          <w:tcPr>
            <w:tcW w:w="647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Cs/>
                <w:szCs w:val="21"/>
              </w:rPr>
            </w:pPr>
            <w:r>
              <w:rPr>
                <w:bCs/>
                <w:szCs w:val="21"/>
              </w:rPr>
              <w:t>34.8</w:t>
            </w:r>
          </w:p>
        </w:tc>
        <w:tc>
          <w:tcPr>
            <w:tcW w:w="717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Cs/>
                <w:szCs w:val="21"/>
              </w:rPr>
            </w:pPr>
            <w:r>
              <w:rPr>
                <w:bCs/>
                <w:szCs w:val="21"/>
              </w:rPr>
              <w:t>412</w:t>
            </w:r>
          </w:p>
        </w:tc>
        <w:tc>
          <w:tcPr>
            <w:tcW w:w="752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Cs/>
                <w:szCs w:val="21"/>
              </w:rPr>
            </w:pPr>
            <w:r>
              <w:rPr>
                <w:bCs/>
                <w:kern w:val="24"/>
                <w:szCs w:val="21"/>
              </w:rPr>
              <w:t>426233</w:t>
            </w:r>
          </w:p>
        </w:tc>
        <w:tc>
          <w:tcPr>
            <w:tcW w:w="781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Cs/>
                <w:szCs w:val="21"/>
              </w:rPr>
            </w:pPr>
            <w:r>
              <w:rPr>
                <w:bCs/>
                <w:szCs w:val="21"/>
              </w:rPr>
              <w:t>91.9</w:t>
            </w:r>
          </w:p>
        </w:tc>
        <w:tc>
          <w:tcPr>
            <w:tcW w:w="670" w:type="pct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Cs/>
                <w:szCs w:val="21"/>
              </w:rPr>
            </w:pPr>
            <w:r>
              <w:rPr>
                <w:bCs/>
                <w:szCs w:val="21"/>
              </w:rPr>
              <w:t>65.9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5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Cs/>
                <w:szCs w:val="21"/>
              </w:rPr>
            </w:pPr>
            <w:r>
              <w:rPr>
                <w:bCs/>
                <w:szCs w:val="21"/>
              </w:rPr>
              <w:t>2022</w:t>
            </w:r>
            <w:r>
              <w:rPr>
                <w:rFonts w:ascii="仿宋" w:hAnsi="仿宋"/>
                <w:bCs/>
                <w:szCs w:val="21"/>
              </w:rPr>
              <w:t>年昼间</w:t>
            </w:r>
          </w:p>
        </w:tc>
        <w:tc>
          <w:tcPr>
            <w:tcW w:w="647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Cs/>
                <w:szCs w:val="21"/>
              </w:rPr>
            </w:pPr>
            <w:r>
              <w:rPr>
                <w:bCs/>
                <w:spacing w:val="-12"/>
                <w:szCs w:val="21"/>
              </w:rPr>
              <w:t>463934</w:t>
            </w:r>
          </w:p>
        </w:tc>
        <w:tc>
          <w:tcPr>
            <w:tcW w:w="647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Cs/>
                <w:szCs w:val="21"/>
              </w:rPr>
            </w:pPr>
            <w:r>
              <w:rPr>
                <w:bCs/>
                <w:szCs w:val="21"/>
              </w:rPr>
              <w:t>34.8</w:t>
            </w:r>
          </w:p>
        </w:tc>
        <w:tc>
          <w:tcPr>
            <w:tcW w:w="717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Cs/>
                <w:szCs w:val="21"/>
              </w:rPr>
            </w:pPr>
            <w:r>
              <w:rPr>
                <w:bCs/>
                <w:szCs w:val="21"/>
              </w:rPr>
              <w:t>512</w:t>
            </w:r>
          </w:p>
        </w:tc>
        <w:tc>
          <w:tcPr>
            <w:tcW w:w="752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Cs/>
                <w:szCs w:val="21"/>
              </w:rPr>
            </w:pPr>
            <w:r>
              <w:rPr>
                <w:bCs/>
                <w:kern w:val="24"/>
                <w:szCs w:val="21"/>
              </w:rPr>
              <w:t>399645</w:t>
            </w:r>
          </w:p>
        </w:tc>
        <w:tc>
          <w:tcPr>
            <w:tcW w:w="781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Cs/>
                <w:szCs w:val="21"/>
              </w:rPr>
            </w:pPr>
            <w:r>
              <w:rPr>
                <w:bCs/>
                <w:szCs w:val="21"/>
              </w:rPr>
              <w:t>86.1</w:t>
            </w:r>
          </w:p>
        </w:tc>
        <w:tc>
          <w:tcPr>
            <w:tcW w:w="670" w:type="pct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Cs/>
                <w:szCs w:val="21"/>
              </w:rPr>
            </w:pPr>
            <w:r>
              <w:rPr>
                <w:bCs/>
                <w:szCs w:val="21"/>
              </w:rPr>
              <w:t>65.8</w:t>
            </w:r>
          </w:p>
        </w:tc>
      </w:tr>
    </w:tbl>
    <w:p>
      <w:pPr>
        <w:spacing w:line="400" w:lineRule="exact"/>
        <w:ind w:firstLine="619" w:firstLineChars="258"/>
        <w:rPr>
          <w:rFonts w:hint="eastAsia" w:ascii="仿宋_GB2312" w:hAnsi="仿宋_GB2312" w:eastAsia="仿宋_GB2312" w:cs="仿宋_GB2312"/>
          <w:color w:val="000000"/>
          <w:sz w:val="24"/>
          <w:szCs w:val="18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ge">
                  <wp:posOffset>5643880</wp:posOffset>
                </wp:positionV>
                <wp:extent cx="419100" cy="161925"/>
                <wp:effectExtent l="0" t="0" r="0" b="0"/>
                <wp:wrapNone/>
                <wp:docPr id="1052" name="文本框 6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color w:val="FF0000"/>
                                <w:sz w:val="15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文本框 6575" o:spid="_x0000_s1026" o:spt="1" style="position:absolute;left:0pt;margin-left:319.05pt;margin-top:444.4pt;height:12.75pt;width:33pt;mso-position-vertical-relative:page;z-index:251666432;mso-width-relative:page;mso-height-relative:page;" filled="f" stroked="f" coordsize="21600,21600" o:gfxdata="UEsDBAoAAAAAAIdO4kAAAAAAAAAAAAAAAAAEAAAAZHJzL1BLAwQUAAAACACHTuJAG8QP/toAAAAL&#10;AQAADwAAAGRycy9kb3ducmV2LnhtbE2PTU/DMAyG70j8h8hI3FhSNo221J0QHxrHsSFtu2WNaSua&#10;pGqydfDrMSfwzfaj14+Lxdl24kRDaL1DSCYKBLnKm9bVCO+bl5sURIjaGd15RwhfFGBRXl4UOjd+&#10;dG90WsdacIgLuUZoYuxzKUPVkNVh4ntyvPvwg9WR26GWZtAjh9tO3io1l1a3ji80uqfHhqrP9dEi&#10;LNP+Yffqv8e6e94vt6tt9rTJIuL1VaLuQUQ6xz8YfvVZHUp2OvijM0F0CPNpmjCKkHKBYOJOzXhy&#10;QMiS2RRkWcj/P5Q/UEsDBBQAAAAIAIdO4kC9ye3RvgEAAHsDAAAOAAAAZHJzL2Uyb0RvYy54bWyt&#10;U0tu2zAQ3RfoHQjua0lG7TaC5WyMBAGKNkDaA9AUaRHgD0Paki/Q3qCrbrrvuXyODinZaZJNFt1Q&#10;j8Phm3lvqNX1YDQ5CAjK2YZWs5ISYblrld019NvXm3cfKQmR2ZZpZ0VDjyLQ6/XbN6ve12LuOqdb&#10;AQRJbKh739AuRl8XReCdMCzMnBcWD6UDwyJuYVe0wHpkN7qYl+Wy6B20HhwXIWB0Mx7SiRFeQ+ik&#10;VFxsHN8bYePICkKziJJCp3yg69ytlILHL1IGEYluKCqNecUiiLdpLdYrVu+A+U7xqQX2mhaeaTJM&#10;WSx6odqwyMge1Asqozi44GSccWeKUUh2BFVU5TNvHjrmRdaCVgd/MT38P1r++XAPRLX4EsrFnBLL&#10;DM789PPH6def0+/vZLn4sEgm9T7UmPvg72HaBYRJ8SDBpC9qIUM29ngxVgyRcAy+r66qEi3neFQt&#10;q6t55iweL3sI8VY4QxJoKODcsp3s8ClELIip55RUy7obpXWenbZPApg4RkQe/nQ7dT/2m1ActsMk&#10;YuvaI+rXdxY9Te/jDOAMtmew96B2HTZXJT+KRIQzya1N7ycN/d99znr8Z9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BvED/7aAAAACwEAAA8AAAAAAAAAAQAgAAAAIgAAAGRycy9kb3ducmV2Lnht&#10;bFBLAQIUABQAAAAIAIdO4kC9ye3RvgEAAHsDAAAOAAAAAAAAAAEAIAAAACk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rPr>
                          <w:color w:val="FF0000"/>
                          <w:sz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400" w:lineRule="exact"/>
        <w:ind w:firstLine="619" w:firstLineChars="258"/>
        <w:rPr>
          <w:rFonts w:hint="eastAsia" w:ascii="仿宋_GB2312" w:hAnsi="仿宋_GB2312" w:eastAsia="仿宋_GB2312" w:cs="仿宋_GB2312"/>
          <w:color w:val="000000"/>
          <w:sz w:val="24"/>
          <w:szCs w:val="18"/>
        </w:rPr>
      </w:pPr>
    </w:p>
    <w:p>
      <w:pPr>
        <w:spacing w:line="400" w:lineRule="exact"/>
        <w:ind w:firstLine="619" w:firstLineChars="258"/>
        <w:rPr>
          <w:rFonts w:hint="eastAsia" w:ascii="仿宋_GB2312" w:hAnsi="仿宋_GB2312" w:eastAsia="仿宋_GB2312" w:cs="仿宋_GB2312"/>
          <w:color w:val="000000"/>
          <w:sz w:val="24"/>
          <w:szCs w:val="18"/>
        </w:rPr>
      </w:pPr>
    </w:p>
    <w:p>
      <w:pPr>
        <w:spacing w:line="400" w:lineRule="exact"/>
        <w:ind w:firstLine="619" w:firstLineChars="258"/>
        <w:rPr>
          <w:rFonts w:hint="eastAsia" w:ascii="仿宋_GB2312" w:hAnsi="仿宋_GB2312" w:eastAsia="仿宋_GB2312" w:cs="仿宋_GB2312"/>
          <w:color w:val="000000"/>
          <w:sz w:val="24"/>
          <w:szCs w:val="18"/>
        </w:rPr>
      </w:pPr>
    </w:p>
    <w:p>
      <w:pPr>
        <w:spacing w:line="400" w:lineRule="exact"/>
        <w:ind w:firstLine="619" w:firstLineChars="258"/>
        <w:rPr>
          <w:rFonts w:hint="eastAsia" w:ascii="仿宋_GB2312" w:hAnsi="仿宋_GB2312" w:eastAsia="仿宋_GB2312" w:cs="仿宋_GB2312"/>
          <w:color w:val="000000"/>
          <w:sz w:val="24"/>
          <w:szCs w:val="18"/>
        </w:rPr>
      </w:pPr>
    </w:p>
    <w:p>
      <w:pPr>
        <w:spacing w:line="400" w:lineRule="exact"/>
        <w:ind w:firstLine="619" w:firstLineChars="258"/>
        <w:rPr>
          <w:rFonts w:hint="eastAsia" w:ascii="仿宋_GB2312" w:hAnsi="仿宋_GB2312" w:eastAsia="仿宋_GB2312" w:cs="仿宋_GB2312"/>
          <w:color w:val="000000"/>
          <w:sz w:val="24"/>
          <w:szCs w:val="18"/>
        </w:rPr>
      </w:pPr>
    </w:p>
    <w:p>
      <w:pPr>
        <w:spacing w:line="400" w:lineRule="exact"/>
        <w:ind w:firstLine="619" w:firstLineChars="258"/>
        <w:rPr>
          <w:rFonts w:hint="eastAsia" w:ascii="仿宋_GB2312" w:hAnsi="仿宋_GB2312" w:eastAsia="仿宋_GB2312" w:cs="仿宋_GB2312"/>
          <w:color w:val="000000"/>
          <w:sz w:val="24"/>
          <w:szCs w:val="18"/>
        </w:rPr>
      </w:pPr>
    </w:p>
    <w:sectPr>
      <w:pgSz w:w="11906" w:h="16838"/>
      <w:pgMar w:top="1021" w:right="1021" w:bottom="1021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?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FB13B3"/>
    <w:multiLevelType w:val="multilevel"/>
    <w:tmpl w:val="69FB13B3"/>
    <w:lvl w:ilvl="0" w:tentative="0">
      <w:start w:val="5"/>
      <w:numFmt w:val="decimal"/>
      <w:suff w:val="space"/>
      <w:lvlText w:val="%1"/>
      <w:lvlJc w:val="center"/>
      <w:pPr>
        <w:ind w:left="0" w:firstLine="0"/>
      </w:pPr>
      <w:rPr>
        <w:rFonts w:hint="eastAsia" w:eastAsia="宋体" w:cs="Times New Roman"/>
        <w:b/>
        <w:bCs/>
        <w:i w:val="0"/>
        <w:iCs w:val="0"/>
        <w:sz w:val="44"/>
        <w:szCs w:val="44"/>
      </w:rPr>
    </w:lvl>
    <w:lvl w:ilvl="1" w:tentative="0">
      <w:start w:val="1"/>
      <w:numFmt w:val="decimal"/>
      <w:suff w:val="space"/>
      <w:lvlText w:val="2.3.%2 "/>
      <w:lvlJc w:val="center"/>
      <w:pPr>
        <w:ind w:left="3120" w:firstLine="0"/>
      </w:pPr>
      <w:rPr>
        <w:rFonts w:hint="eastAsia" w:eastAsia="黑体" w:cs="Times New Roman"/>
        <w:b w:val="0"/>
        <w:bCs w:val="0"/>
        <w:i w:val="0"/>
        <w:iCs w:val="0"/>
        <w:sz w:val="32"/>
        <w:szCs w:val="32"/>
      </w:rPr>
    </w:lvl>
    <w:lvl w:ilvl="2" w:tentative="0">
      <w:start w:val="1"/>
      <w:numFmt w:val="none"/>
      <w:pStyle w:val="2"/>
      <w:suff w:val="space"/>
      <w:lvlText w:val="2.3.2.2"/>
      <w:lvlJc w:val="left"/>
      <w:pPr>
        <w:ind w:left="9356" w:firstLine="0"/>
      </w:pPr>
      <w:rPr>
        <w:rFonts w:hint="eastAsia" w:ascii="Arial Unicode MS" w:hAnsi="Arial Unicode MS" w:eastAsia="宋体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 w:tentative="0">
      <w:start w:val="1"/>
      <w:numFmt w:val="decimal"/>
      <w:pStyle w:val="4"/>
      <w:suff w:val="space"/>
      <w:lvlText w:val="（%4）"/>
      <w:lvlJc w:val="left"/>
      <w:pPr>
        <w:ind w:left="1044" w:firstLine="0"/>
      </w:pPr>
      <w:rPr>
        <w:rFonts w:hint="eastAsia" w:ascii="Arial Unicode MS" w:hAnsi="Arial Unicode MS" w:eastAsia="黑体" w:cs="Times New Roman"/>
        <w:b w:val="0"/>
        <w:bCs w:val="0"/>
        <w:i w:val="0"/>
        <w:iCs w:val="0"/>
        <w:sz w:val="24"/>
        <w:szCs w:val="24"/>
      </w:rPr>
    </w:lvl>
    <w:lvl w:ilvl="4" w:tentative="0">
      <w:start w:val="1"/>
      <w:numFmt w:val="decimal"/>
      <w:suff w:val="space"/>
      <w:lvlText w:val="【%5】"/>
      <w:lvlJc w:val="left"/>
      <w:pPr>
        <w:ind w:left="568" w:firstLine="0"/>
      </w:pPr>
      <w:rPr>
        <w:rFonts w:hint="eastAsia" w:eastAsia="黑体" w:cs="Times New Roman"/>
        <w:b w:val="0"/>
        <w:bCs w:val="0"/>
        <w:i w:val="0"/>
        <w:iCs w:val="0"/>
        <w:spacing w:val="0"/>
        <w:w w:val="80"/>
        <w:sz w:val="21"/>
        <w:szCs w:val="21"/>
      </w:rPr>
    </w:lvl>
    <w:lvl w:ilvl="5" w:tentative="0">
      <w:start w:val="1"/>
      <w:numFmt w:val="none"/>
      <w:suff w:val="space"/>
      <w:lvlText w:val="   ● "/>
      <w:lvlJc w:val="left"/>
      <w:pPr>
        <w:ind w:left="0" w:firstLine="0"/>
      </w:pPr>
      <w:rPr>
        <w:rFonts w:hint="eastAsia" w:eastAsia="黑体" w:cs="Times New Roman"/>
        <w:b w:val="0"/>
        <w:bCs w:val="0"/>
        <w:i w:val="0"/>
        <w:iCs w:val="0"/>
        <w:color w:val="auto"/>
        <w:sz w:val="24"/>
        <w:szCs w:val="24"/>
      </w:rPr>
    </w:lvl>
    <w:lvl w:ilvl="6" w:tentative="0">
      <w:start w:val="1"/>
      <w:numFmt w:val="decimal"/>
      <w:lvlText w:val="%1.%2.%3.%4.%5.%6.%7"/>
      <w:lvlJc w:val="left"/>
      <w:pPr>
        <w:tabs>
          <w:tab w:val="left" w:pos="0"/>
        </w:tabs>
        <w:ind w:left="0" w:firstLine="0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0"/>
        </w:tabs>
        <w:ind w:left="0" w:firstLine="0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0" w:firstLine="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2"/>
  <w:drawingGridVerticalSpacing w:val="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xOWIxZGFkMGE1NTQzMTFiZjM2YzQ2Njg0ZTYwMDIifQ=="/>
  </w:docVars>
  <w:rsids>
    <w:rsidRoot w:val="00254F91"/>
    <w:rsid w:val="001B3901"/>
    <w:rsid w:val="001E6649"/>
    <w:rsid w:val="001F2CCE"/>
    <w:rsid w:val="00254F91"/>
    <w:rsid w:val="00426EF9"/>
    <w:rsid w:val="00552560"/>
    <w:rsid w:val="005E7D7A"/>
    <w:rsid w:val="00663ECB"/>
    <w:rsid w:val="00672879"/>
    <w:rsid w:val="0075356A"/>
    <w:rsid w:val="00B278DC"/>
    <w:rsid w:val="01DA7D66"/>
    <w:rsid w:val="0202368A"/>
    <w:rsid w:val="02943BDA"/>
    <w:rsid w:val="05BB035D"/>
    <w:rsid w:val="06874187"/>
    <w:rsid w:val="07C53506"/>
    <w:rsid w:val="07CC09EB"/>
    <w:rsid w:val="082E6C32"/>
    <w:rsid w:val="08C97472"/>
    <w:rsid w:val="08D00067"/>
    <w:rsid w:val="0A0D0E47"/>
    <w:rsid w:val="0B057270"/>
    <w:rsid w:val="0BB7585C"/>
    <w:rsid w:val="0D5C410B"/>
    <w:rsid w:val="0DA202C1"/>
    <w:rsid w:val="0FD16105"/>
    <w:rsid w:val="125104B3"/>
    <w:rsid w:val="12D12B31"/>
    <w:rsid w:val="12E761C7"/>
    <w:rsid w:val="15202377"/>
    <w:rsid w:val="17587512"/>
    <w:rsid w:val="1A9A6727"/>
    <w:rsid w:val="1B8A22F8"/>
    <w:rsid w:val="1E360515"/>
    <w:rsid w:val="21004E0A"/>
    <w:rsid w:val="233345FB"/>
    <w:rsid w:val="27D6558F"/>
    <w:rsid w:val="2B410A44"/>
    <w:rsid w:val="2C241BE0"/>
    <w:rsid w:val="30343978"/>
    <w:rsid w:val="30A6777C"/>
    <w:rsid w:val="33387F5D"/>
    <w:rsid w:val="357E5C97"/>
    <w:rsid w:val="35AA3910"/>
    <w:rsid w:val="35F23429"/>
    <w:rsid w:val="36E0506A"/>
    <w:rsid w:val="430B346F"/>
    <w:rsid w:val="43BD2A0C"/>
    <w:rsid w:val="442530E8"/>
    <w:rsid w:val="4593242D"/>
    <w:rsid w:val="46054AED"/>
    <w:rsid w:val="46B856BC"/>
    <w:rsid w:val="47482EE3"/>
    <w:rsid w:val="4A835C72"/>
    <w:rsid w:val="4B8464B4"/>
    <w:rsid w:val="4C6360CA"/>
    <w:rsid w:val="4D881E5D"/>
    <w:rsid w:val="4EBD4EA3"/>
    <w:rsid w:val="4F2D4D21"/>
    <w:rsid w:val="4F391364"/>
    <w:rsid w:val="4F605093"/>
    <w:rsid w:val="51E64A43"/>
    <w:rsid w:val="549C486F"/>
    <w:rsid w:val="560510E1"/>
    <w:rsid w:val="57C326C6"/>
    <w:rsid w:val="5976568E"/>
    <w:rsid w:val="5C795EAB"/>
    <w:rsid w:val="5DB42DAE"/>
    <w:rsid w:val="5E116A63"/>
    <w:rsid w:val="5E37759A"/>
    <w:rsid w:val="5E7F4FE5"/>
    <w:rsid w:val="604759E5"/>
    <w:rsid w:val="63732EEC"/>
    <w:rsid w:val="640F14A6"/>
    <w:rsid w:val="64A62BA0"/>
    <w:rsid w:val="65222698"/>
    <w:rsid w:val="652A1A23"/>
    <w:rsid w:val="65E971E8"/>
    <w:rsid w:val="66C0423C"/>
    <w:rsid w:val="66F95B50"/>
    <w:rsid w:val="6727306E"/>
    <w:rsid w:val="6962178B"/>
    <w:rsid w:val="6CE630DE"/>
    <w:rsid w:val="6F23757C"/>
    <w:rsid w:val="6FE3114C"/>
    <w:rsid w:val="70DD742E"/>
    <w:rsid w:val="73403321"/>
    <w:rsid w:val="7AFD2D96"/>
    <w:rsid w:val="7C1359D4"/>
    <w:rsid w:val="7D054C22"/>
    <w:rsid w:val="7F2035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2">
    <w:name w:val="heading 3"/>
    <w:basedOn w:val="1"/>
    <w:next w:val="1"/>
    <w:autoRedefine/>
    <w:qFormat/>
    <w:uiPriority w:val="0"/>
    <w:pPr>
      <w:keepNext/>
      <w:keepLines/>
      <w:numPr>
        <w:ilvl w:val="2"/>
        <w:numId w:val="1"/>
      </w:numPr>
      <w:adjustRightInd w:val="0"/>
      <w:snapToGrid w:val="0"/>
      <w:spacing w:before="240" w:after="120"/>
      <w:ind w:left="9660"/>
      <w:jc w:val="left"/>
      <w:outlineLvl w:val="2"/>
    </w:pPr>
    <w:rPr>
      <w:rFonts w:eastAsia="黑体"/>
      <w:sz w:val="28"/>
      <w:szCs w:val="28"/>
    </w:rPr>
  </w:style>
  <w:style w:type="paragraph" w:styleId="4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before="240" w:after="120"/>
      <w:ind w:firstLineChars="0"/>
      <w:jc w:val="left"/>
      <w:outlineLvl w:val="3"/>
    </w:pPr>
    <w:rPr>
      <w:rFonts w:ascii="Cambria" w:hAnsi="Cambria" w:eastAsia="黑体" w:cs="Cambria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center"/>
    </w:pPr>
    <w:rPr>
      <w:rFonts w:ascii="宋体" w:hAnsi="宋体"/>
      <w:sz w:val="18"/>
    </w:rPr>
  </w:style>
  <w:style w:type="paragraph" w:styleId="6">
    <w:name w:val="Body Text Indent"/>
    <w:basedOn w:val="1"/>
    <w:autoRedefine/>
    <w:qFormat/>
    <w:uiPriority w:val="0"/>
    <w:pPr>
      <w:ind w:firstLine="420" w:firstLineChars="200"/>
    </w:pPr>
    <w:rPr>
      <w:color w:val="000000"/>
      <w:szCs w:val="18"/>
    </w:rPr>
  </w:style>
  <w:style w:type="paragraph" w:styleId="7">
    <w:name w:val="Plain Text"/>
    <w:basedOn w:val="1"/>
    <w:autoRedefine/>
    <w:qFormat/>
    <w:uiPriority w:val="0"/>
    <w:rPr>
      <w:rFonts w:ascii="宋体" w:hAnsi="Courier New"/>
      <w:sz w:val="20"/>
      <w:szCs w:val="20"/>
    </w:rPr>
  </w:style>
  <w:style w:type="paragraph" w:styleId="8">
    <w:name w:val="Body Text Indent 2"/>
    <w:basedOn w:val="1"/>
    <w:autoRedefine/>
    <w:qFormat/>
    <w:uiPriority w:val="0"/>
    <w:pPr>
      <w:spacing w:line="520" w:lineRule="exact"/>
      <w:ind w:firstLine="600" w:firstLineChars="200"/>
    </w:pPr>
    <w:rPr>
      <w:color w:val="000000"/>
      <w:sz w:val="30"/>
      <w:szCs w:val="18"/>
    </w:rPr>
  </w:style>
  <w:style w:type="paragraph" w:styleId="9">
    <w:name w:val="Balloon Text"/>
    <w:basedOn w:val="1"/>
    <w:link w:val="18"/>
    <w:autoRedefine/>
    <w:qFormat/>
    <w:uiPriority w:val="0"/>
    <w:rPr>
      <w:sz w:val="18"/>
      <w:szCs w:val="18"/>
    </w:rPr>
  </w:style>
  <w:style w:type="paragraph" w:styleId="10">
    <w:name w:val="footer"/>
    <w:basedOn w:val="1"/>
    <w:link w:val="1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Indent 3"/>
    <w:basedOn w:val="1"/>
    <w:autoRedefine/>
    <w:qFormat/>
    <w:uiPriority w:val="0"/>
    <w:pPr>
      <w:spacing w:line="400" w:lineRule="exact"/>
      <w:ind w:firstLine="504" w:firstLineChars="210"/>
    </w:pPr>
    <w:rPr>
      <w:rFonts w:ascii="仿宋_GB2312" w:hAnsi="宋体" w:eastAsia="仿宋_GB2312"/>
      <w:color w:val="000000"/>
      <w:sz w:val="24"/>
      <w:szCs w:val="18"/>
    </w:rPr>
  </w:style>
  <w:style w:type="paragraph" w:styleId="13">
    <w:name w:val="Body Text 2"/>
    <w:basedOn w:val="1"/>
    <w:autoRedefine/>
    <w:qFormat/>
    <w:uiPriority w:val="0"/>
    <w:rPr>
      <w:rFonts w:ascii="宋体"/>
      <w:b/>
      <w:bCs/>
      <w:color w:val="008000"/>
      <w:w w:val="80"/>
      <w:sz w:val="144"/>
      <w:szCs w:val="94"/>
    </w:rPr>
  </w:style>
  <w:style w:type="character" w:customStyle="1" w:styleId="16">
    <w:name w:val="页眉 Char"/>
    <w:basedOn w:val="15"/>
    <w:link w:val="11"/>
    <w:autoRedefine/>
    <w:qFormat/>
    <w:uiPriority w:val="0"/>
    <w:rPr>
      <w:kern w:val="2"/>
      <w:sz w:val="18"/>
      <w:szCs w:val="18"/>
    </w:rPr>
  </w:style>
  <w:style w:type="character" w:customStyle="1" w:styleId="17">
    <w:name w:val="页脚 Char"/>
    <w:basedOn w:val="15"/>
    <w:link w:val="10"/>
    <w:autoRedefine/>
    <w:qFormat/>
    <w:uiPriority w:val="0"/>
    <w:rPr>
      <w:kern w:val="2"/>
      <w:sz w:val="18"/>
      <w:szCs w:val="18"/>
    </w:rPr>
  </w:style>
  <w:style w:type="character" w:customStyle="1" w:styleId="18">
    <w:name w:val="批注框文本 Char"/>
    <w:basedOn w:val="15"/>
    <w:link w:val="9"/>
    <w:autoRedefine/>
    <w:qFormat/>
    <w:uiPriority w:val="0"/>
    <w:rPr>
      <w:kern w:val="2"/>
      <w:sz w:val="18"/>
      <w:szCs w:val="18"/>
    </w:rPr>
  </w:style>
  <w:style w:type="paragraph" w:customStyle="1" w:styleId="19">
    <w:name w:val="表头"/>
    <w:basedOn w:val="1"/>
    <w:autoRedefine/>
    <w:qFormat/>
    <w:uiPriority w:val="0"/>
    <w:pPr>
      <w:adjustRightInd w:val="0"/>
      <w:snapToGrid w:val="0"/>
      <w:spacing w:beforeLines="50" w:line="400" w:lineRule="exact"/>
      <w:ind w:firstLine="480"/>
    </w:pPr>
    <w:rPr>
      <w:rFonts w:ascii="黑体" w:hAnsi="宋体" w:eastAsia="黑体"/>
      <w:kern w:val="21"/>
      <w:szCs w:val="21"/>
    </w:rPr>
  </w:style>
  <w:style w:type="paragraph" w:customStyle="1" w:styleId="20">
    <w:name w:val="表格"/>
    <w:basedOn w:val="1"/>
    <w:autoRedefine/>
    <w:qFormat/>
    <w:uiPriority w:val="0"/>
    <w:pPr>
      <w:widowControl/>
      <w:spacing w:line="312" w:lineRule="exact"/>
      <w:jc w:val="center"/>
      <w:textAlignment w:val="center"/>
    </w:pPr>
    <w:rPr>
      <w:rFonts w:eastAsia="仿宋" w:cs="宋体"/>
      <w:kern w:val="0"/>
      <w:szCs w:val="21"/>
    </w:rPr>
  </w:style>
  <w:style w:type="paragraph" w:customStyle="1" w:styleId="21">
    <w:name w:val="节"/>
    <w:basedOn w:val="3"/>
    <w:next w:val="7"/>
    <w:autoRedefine/>
    <w:qFormat/>
    <w:uiPriority w:val="0"/>
    <w:pPr>
      <w:adjustRightInd w:val="0"/>
      <w:snapToGrid w:val="0"/>
      <w:spacing w:before="480" w:after="360" w:line="240" w:lineRule="auto"/>
      <w:ind w:left="200" w:leftChars="200" w:firstLine="288"/>
      <w:jc w:val="center"/>
    </w:pPr>
    <w:rPr>
      <w:rFonts w:ascii="Arial" w:hAnsi="Arial" w:eastAsia="黑体" w:cs="Times New Roman"/>
      <w:b w:val="0"/>
      <w:kern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chart" Target="charts/chart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7809708555786"/>
          <c:y val="0.0563721675275417"/>
          <c:w val="0.836596029134726"/>
          <c:h val="0.70584762270569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综合指数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  <a:ln>
              <a:noFill/>
            </a:ln>
            <a:effectLst/>
          </c:spPr>
          <c:invertIfNegative val="0"/>
          <c:dPt>
            <c:idx val="8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rgbClr val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rgbClr val="A6A6A6">
                          <a:lumMod val="35000"/>
                          <a:lumOff val="65000"/>
                        </a:srgb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Sheet1!$A$3:$A$11</c:f>
              <c:strCache>
                <c:ptCount val="9"/>
                <c:pt idx="0">
                  <c:v>林科所</c:v>
                </c:pt>
                <c:pt idx="1">
                  <c:v>象  湖</c:v>
                </c:pt>
                <c:pt idx="2">
                  <c:v>外国语学校</c:v>
                </c:pt>
                <c:pt idx="3">
                  <c:v>省外办</c:v>
                </c:pt>
                <c:pt idx="4">
                  <c:v>省林业公司</c:v>
                </c:pt>
                <c:pt idx="5">
                  <c:v>建工学校</c:v>
                </c:pt>
                <c:pt idx="6">
                  <c:v>机电学校</c:v>
                </c:pt>
                <c:pt idx="7">
                  <c:v>省  站</c:v>
                </c:pt>
                <c:pt idx="8">
                  <c:v>全市</c:v>
                </c:pt>
              </c:strCache>
            </c:strRef>
          </c:cat>
          <c:val>
            <c:numRef>
              <c:f>Sheet1!$B$3:$B$11</c:f>
              <c:numCache>
                <c:formatCode>0.00_ </c:formatCode>
                <c:ptCount val="9"/>
                <c:pt idx="0">
                  <c:v>3.32</c:v>
                </c:pt>
                <c:pt idx="1">
                  <c:v>3.54</c:v>
                </c:pt>
                <c:pt idx="2">
                  <c:v>3.56</c:v>
                </c:pt>
                <c:pt idx="3">
                  <c:v>3.69</c:v>
                </c:pt>
                <c:pt idx="4">
                  <c:v>3.72</c:v>
                </c:pt>
                <c:pt idx="5">
                  <c:v>3.73</c:v>
                </c:pt>
                <c:pt idx="6">
                  <c:v>3.8</c:v>
                </c:pt>
                <c:pt idx="7">
                  <c:v>3.87</c:v>
                </c:pt>
                <c:pt idx="8">
                  <c:v>3.65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1"/>
        <c:axId val="292178560"/>
        <c:axId val="292189312"/>
      </c:barChart>
      <c:catAx>
        <c:axId val="2921785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ysClr val="windowText" lastClr="000000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rgbClr val="000000"/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defRPr>
            </a:pPr>
          </a:p>
        </c:txPr>
        <c:crossAx val="292189312"/>
        <c:crosses val="autoZero"/>
        <c:auto val="1"/>
        <c:lblAlgn val="ctr"/>
        <c:lblOffset val="100"/>
        <c:noMultiLvlLbl val="0"/>
      </c:catAx>
      <c:valAx>
        <c:axId val="2921893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zh-CN" sz="1200" b="0" i="0" u="none" strike="noStrike" kern="1200" baseline="0">
                    <a:solidFill>
                      <a:srgbClr val="000000"/>
                    </a:solidFill>
                    <a:latin typeface="黑体" panose="02010609060101010101" charset="-122"/>
                    <a:ea typeface="黑体" panose="02010609060101010101" charset="-122"/>
                    <a:cs typeface="黑体" panose="02010609060101010101" charset="-122"/>
                    <a:sym typeface="黑体" panose="02010609060101010101" charset="-122"/>
                  </a:defRPr>
                </a:pPr>
                <a:r>
                  <a:rPr lang="zh-CN" altLang="zh-CN" sz="1000" b="0" i="0" baseline="0">
                    <a:effectLst/>
                    <a:latin typeface="黑体" panose="02010609060101010101" charset="-122"/>
                    <a:ea typeface="黑体" panose="02010609060101010101" charset="-122"/>
                    <a:cs typeface="黑体" panose="02010609060101010101" charset="-122"/>
                    <a:sym typeface="黑体" panose="02010609060101010101" charset="-122"/>
                  </a:rPr>
                  <a:t>图</a:t>
                </a:r>
                <a:r>
                  <a:rPr lang="en-US" altLang="zh-CN" sz="1000" b="0" i="0" baseline="0">
                    <a:effectLst/>
                    <a:latin typeface="黑体" panose="02010609060101010101" charset="-122"/>
                    <a:ea typeface="黑体" panose="02010609060101010101" charset="-122"/>
                    <a:cs typeface="黑体" panose="02010609060101010101" charset="-122"/>
                    <a:sym typeface="黑体" panose="02010609060101010101" charset="-122"/>
                  </a:rPr>
                  <a:t>1-3  2022</a:t>
                </a:r>
                <a:r>
                  <a:rPr lang="zh-CN" altLang="zh-CN" sz="1000" b="0" i="0" baseline="0">
                    <a:effectLst/>
                    <a:latin typeface="黑体" panose="02010609060101010101" charset="-122"/>
                    <a:ea typeface="黑体" panose="02010609060101010101" charset="-122"/>
                    <a:cs typeface="黑体" panose="02010609060101010101" charset="-122"/>
                    <a:sym typeface="黑体" panose="02010609060101010101" charset="-122"/>
                  </a:rPr>
                  <a:t>年各</a:t>
                </a:r>
                <a:r>
                  <a:rPr lang="zh-CN" altLang="en-US" sz="1000" b="0" i="0" baseline="0">
                    <a:effectLst/>
                    <a:latin typeface="黑体" panose="02010609060101010101" charset="-122"/>
                    <a:ea typeface="黑体" panose="02010609060101010101" charset="-122"/>
                    <a:cs typeface="黑体" panose="02010609060101010101" charset="-122"/>
                    <a:sym typeface="黑体" panose="02010609060101010101" charset="-122"/>
                  </a:rPr>
                  <a:t>监测</a:t>
                </a:r>
                <a:r>
                  <a:rPr lang="zh-CN" altLang="zh-CN" sz="1000" b="0" i="0" baseline="0">
                    <a:effectLst/>
                    <a:latin typeface="黑体" panose="02010609060101010101" charset="-122"/>
                    <a:ea typeface="黑体" panose="02010609060101010101" charset="-122"/>
                    <a:cs typeface="黑体" panose="02010609060101010101" charset="-122"/>
                    <a:sym typeface="黑体" panose="02010609060101010101" charset="-122"/>
                  </a:rPr>
                  <a:t>点环境空气质量综合指数</a:t>
                </a:r>
                <a:endParaRPr lang="zh-CN" altLang="zh-CN" sz="1000">
                  <a:effectLst/>
                  <a:latin typeface="黑体" panose="02010609060101010101" charset="-122"/>
                  <a:ea typeface="黑体" panose="02010609060101010101" charset="-122"/>
                  <a:cs typeface="黑体" panose="02010609060101010101" charset="-122"/>
                  <a:sym typeface="黑体" panose="02010609060101010101" charset="-122"/>
                </a:endParaRPr>
              </a:p>
            </c:rich>
          </c:tx>
          <c:layout>
            <c:manualLayout>
              <c:xMode val="edge"/>
              <c:yMode val="edge"/>
              <c:x val="0.184481744345911"/>
              <c:y val="0.881851578578555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0_ " sourceLinked="1"/>
        <c:majorTickMark val="out"/>
        <c:minorTickMark val="none"/>
        <c:tickLblPos val="nextTo"/>
        <c:spPr>
          <a:noFill/>
          <a:ln w="12700" cap="flat" cmpd="sng" algn="ctr">
            <a:solidFill>
              <a:sysClr val="windowText" lastClr="000000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292178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rgbClr val="FFFFFF"/>
    </a:solidFill>
    <a:ln w="9525" cap="flat" cmpd="sng" algn="ctr">
      <a:noFill/>
      <a:prstDash val="solid"/>
      <a:round/>
    </a:ln>
    <a:effectLst/>
  </c:spPr>
  <c:txPr>
    <a:bodyPr/>
    <a:lstStyle/>
    <a:p>
      <a:pPr>
        <a:defRPr lang="zh-CN">
          <a:latin typeface="黑体" panose="02010609060101010101" charset="-122"/>
          <a:ea typeface="黑体" panose="02010609060101010101" charset="-122"/>
          <a:cs typeface="黑体" panose="02010609060101010101" charset="-122"/>
          <a:sym typeface="黑体" panose="02010609060101010101" charset="-122"/>
        </a:defRPr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rgbClr val="FFFFFF"/>
      </a:solidFill>
      <a:gradFill rotWithShape="1">
        <a:gsLst>
          <a:gs pos="0">
            <a:srgbClr val="FFFFFF">
              <a:lumMod val="110000"/>
              <a:satMod val="105000"/>
              <a:tint val="67000"/>
            </a:srgbClr>
          </a:gs>
          <a:gs pos="50000">
            <a:srgbClr val="FFFFFF">
              <a:lumMod val="105000"/>
              <a:satMod val="103000"/>
              <a:tint val="73000"/>
            </a:srgbClr>
          </a:gs>
          <a:gs pos="100000">
            <a:srgbClr val="FFFFFF">
              <a:lumMod val="105000"/>
              <a:satMod val="109000"/>
              <a:tint val="81000"/>
            </a:srgbClr>
          </a:gs>
        </a:gsLst>
        <a:lin ang="5400000" scaled="0"/>
      </a:gradFill>
      <a:gradFill rotWithShape="1">
        <a:gsLst>
          <a:gs pos="0">
            <a:srgbClr val="FFFFFF">
              <a:satMod val="103000"/>
              <a:lumMod val="102000"/>
              <a:tint val="94000"/>
            </a:srgbClr>
          </a:gs>
          <a:gs pos="50000">
            <a:srgbClr val="FFFFFF">
              <a:satMod val="110000"/>
              <a:lumMod val="100000"/>
              <a:shade val="100000"/>
            </a:srgbClr>
          </a:gs>
          <a:gs pos="100000">
            <a:srgbClr val="E2E2E2">
              <a:lumMod val="99000"/>
              <a:satMod val="120000"/>
              <a:shade val="78000"/>
            </a:srgbClr>
          </a:gs>
        </a:gsLst>
        <a:lin ang="5400000" scaled="0"/>
      </a:gradFill>
    </a:fillStyleLst>
    <a:lnStyleLst>
      <a:ln w="6350" cap="flat" cmpd="sng" algn="ctr">
        <a:solidFill>
          <a:srgbClr val="FFFFFF"/>
        </a:solidFill>
        <a:prstDash val="solid"/>
        <a:miter lim="800000"/>
      </a:ln>
      <a:ln w="12700" cap="flat" cmpd="sng" algn="ctr">
        <a:solidFill>
          <a:srgbClr val="FFFFFF"/>
        </a:solidFill>
        <a:prstDash val="solid"/>
        <a:miter lim="800000"/>
      </a:ln>
      <a:ln w="19050" cap="flat" cmpd="sng" algn="ctr">
        <a:solidFill>
          <a:srgbClr val="FFFFFF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rgbClr val="FFFFFF"/>
      </a:solidFill>
      <a:solidFill>
        <a:srgbClr val="FFFFFF">
          <a:tint val="95000"/>
          <a:satMod val="170000"/>
        </a:srgbClr>
      </a:solidFill>
      <a:gradFill rotWithShape="1">
        <a:gsLst>
          <a:gs pos="0">
            <a:srgbClr val="FFFFFF">
              <a:tint val="93000"/>
              <a:satMod val="150000"/>
              <a:shade val="98000"/>
              <a:lumMod val="102000"/>
            </a:srgbClr>
          </a:gs>
          <a:gs pos="50000">
            <a:srgbClr val="FBFBFB">
              <a:tint val="98000"/>
              <a:satMod val="130000"/>
              <a:shade val="90000"/>
              <a:lumMod val="103000"/>
            </a:srgbClr>
          </a:gs>
          <a:gs pos="100000">
            <a:srgbClr val="D0D0D0">
              <a:shade val="63000"/>
              <a:satMod val="120000"/>
            </a:srgb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C07DD4-ABD1-4554-B65E-26BC56682F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南昌市环境监测站</Company>
  <Pages>6</Pages>
  <Words>1255</Words>
  <Characters>1669</Characters>
  <Lines>18</Lines>
  <Paragraphs>5</Paragraphs>
  <TotalTime>5</TotalTime>
  <ScaleCrop>false</ScaleCrop>
  <LinksUpToDate>false</LinksUpToDate>
  <CharactersWithSpaces>1776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2021-12-15T09:33:00Z</dcterms:created>
  <dc:creator>饶辉</dc:creator>
  <cp:lastModifiedBy>Lenovo</cp:lastModifiedBy>
  <cp:lastPrinted>2005-05-11T02:16:00Z</cp:lastPrinted>
  <dcterms:modified xsi:type="dcterms:W3CDTF">2023-12-28T02:16:02Z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C30740BDF0F54BE8B116A420103ED4FF_13</vt:lpwstr>
  </property>
</Properties>
</file>